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Default Extension="png" ContentType="image/png"/>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Ind w:w="-106" w:type="dxa"/>
        <w:tblLayout w:type="fixed"/>
        <w:tblLook w:val="01E0"/>
      </w:tblPr>
      <w:tblGrid>
        <w:gridCol w:w="2988"/>
        <w:gridCol w:w="6618"/>
      </w:tblGrid>
      <w:tr w:rsidR="000A4C29" w:rsidRPr="00D8702D">
        <w:trPr>
          <w:trHeight w:val="1258"/>
        </w:trPr>
        <w:tc>
          <w:tcPr>
            <w:tcW w:w="2988" w:type="dxa"/>
          </w:tcPr>
          <w:p w:rsidR="000A4C29" w:rsidRPr="00F71B24" w:rsidRDefault="000A4C29" w:rsidP="00BD4983">
            <w:pPr>
              <w:pStyle w:val="BodyText"/>
              <w:jc w:val="center"/>
              <w:rPr>
                <w:b/>
                <w:bCs/>
                <w:color w:val="000000"/>
                <w:sz w:val="28"/>
                <w:szCs w:val="28"/>
              </w:rPr>
            </w:pPr>
            <w:bookmarkStart w:id="0" w:name="_GoBack"/>
            <w:bookmarkEnd w:id="0"/>
            <w:r>
              <w:rPr>
                <w:b/>
                <w:bCs/>
                <w:color w:val="000000"/>
                <w:sz w:val="27"/>
                <w:szCs w:val="27"/>
              </w:rPr>
              <w:t xml:space="preserve"> </w:t>
            </w:r>
            <w:r w:rsidRPr="00D8702D">
              <w:rPr>
                <w:b/>
                <w:bCs/>
                <w:color w:val="000000"/>
                <w:sz w:val="27"/>
                <w:szCs w:val="27"/>
              </w:rPr>
              <w:t xml:space="preserve"> </w:t>
            </w:r>
            <w:r w:rsidRPr="00F71B24">
              <w:rPr>
                <w:b/>
                <w:bCs/>
                <w:color w:val="000000"/>
                <w:sz w:val="28"/>
                <w:szCs w:val="28"/>
              </w:rPr>
              <w:t>UỶ BAN NHÂN DÂN</w:t>
            </w:r>
          </w:p>
          <w:p w:rsidR="000A4C29" w:rsidRPr="00D8702D" w:rsidRDefault="000A4C29" w:rsidP="00361E2A">
            <w:pPr>
              <w:pStyle w:val="BodyText"/>
              <w:jc w:val="center"/>
              <w:rPr>
                <w:b/>
                <w:bCs/>
                <w:color w:val="000000"/>
                <w:sz w:val="27"/>
                <w:szCs w:val="27"/>
              </w:rPr>
            </w:pPr>
            <w:r w:rsidRPr="00F71B24">
              <w:rPr>
                <w:b/>
                <w:bCs/>
                <w:color w:val="000000"/>
                <w:sz w:val="28"/>
                <w:szCs w:val="28"/>
              </w:rPr>
              <w:t>TỈNH ĐẮK LẮK</w:t>
            </w:r>
          </w:p>
          <w:p w:rsidR="000A4C29" w:rsidRPr="00D8702D" w:rsidRDefault="001B6D63" w:rsidP="004A261D">
            <w:pPr>
              <w:pStyle w:val="Heading3"/>
              <w:jc w:val="center"/>
              <w:rPr>
                <w:rFonts w:ascii="Times New Roman" w:hAnsi="Times New Roman" w:cs="Times New Roman"/>
                <w:color w:val="000000"/>
                <w:sz w:val="27"/>
                <w:szCs w:val="27"/>
              </w:rPr>
            </w:pPr>
            <w:r w:rsidRPr="001B6D63">
              <w:rPr>
                <w:noProof/>
              </w:rPr>
              <w:pict>
                <v:line id="Line 3" o:spid="_x0000_s1026" style="position:absolute;left:0;text-align:left;z-index:251657216;visibility:visible" from="35.85pt,2.15pt" to="104.1pt,2.15pt"/>
              </w:pict>
            </w:r>
          </w:p>
          <w:p w:rsidR="000A4C29" w:rsidRPr="00F71B24" w:rsidRDefault="000A4C29" w:rsidP="004A261D">
            <w:pPr>
              <w:pStyle w:val="Heading3"/>
              <w:jc w:val="center"/>
              <w:rPr>
                <w:rFonts w:ascii="Times New Roman" w:hAnsi="Times New Roman" w:cs="Times New Roman"/>
                <w:color w:val="000000"/>
              </w:rPr>
            </w:pPr>
            <w:r w:rsidRPr="00F71B24">
              <w:rPr>
                <w:rFonts w:ascii="Times New Roman" w:hAnsi="Times New Roman" w:cs="Times New Roman"/>
                <w:color w:val="000000"/>
              </w:rPr>
              <w:t>Số:           /BC-UBND</w:t>
            </w:r>
          </w:p>
        </w:tc>
        <w:tc>
          <w:tcPr>
            <w:tcW w:w="6618" w:type="dxa"/>
          </w:tcPr>
          <w:p w:rsidR="000A4C29" w:rsidRPr="00F71B24" w:rsidRDefault="000A4C29">
            <w:pPr>
              <w:pStyle w:val="BodyText"/>
              <w:rPr>
                <w:b/>
                <w:bCs/>
                <w:color w:val="000000"/>
                <w:sz w:val="28"/>
                <w:szCs w:val="28"/>
              </w:rPr>
            </w:pPr>
            <w:r>
              <w:rPr>
                <w:b/>
                <w:bCs/>
                <w:color w:val="000000"/>
                <w:sz w:val="27"/>
                <w:szCs w:val="27"/>
              </w:rPr>
              <w:t xml:space="preserve">   </w:t>
            </w:r>
            <w:r w:rsidRPr="00D8702D">
              <w:rPr>
                <w:b/>
                <w:bCs/>
                <w:color w:val="000000"/>
                <w:sz w:val="27"/>
                <w:szCs w:val="27"/>
              </w:rPr>
              <w:t xml:space="preserve"> </w:t>
            </w:r>
            <w:r w:rsidRPr="00F71B24">
              <w:rPr>
                <w:b/>
                <w:bCs/>
                <w:color w:val="000000"/>
                <w:sz w:val="28"/>
                <w:szCs w:val="28"/>
              </w:rPr>
              <w:t>CỘNG HOÀ XÃ HỘI CHỦ NGHĨA VIỆT NAM</w:t>
            </w:r>
          </w:p>
          <w:p w:rsidR="000A4C29" w:rsidRPr="00F71B24" w:rsidRDefault="000A4C29">
            <w:pPr>
              <w:pStyle w:val="BodyText"/>
              <w:rPr>
                <w:b/>
                <w:bCs/>
                <w:color w:val="000000"/>
                <w:sz w:val="28"/>
                <w:szCs w:val="28"/>
              </w:rPr>
            </w:pPr>
            <w:r w:rsidRPr="00F71B24">
              <w:rPr>
                <w:b/>
                <w:bCs/>
                <w:color w:val="000000"/>
                <w:sz w:val="28"/>
                <w:szCs w:val="28"/>
              </w:rPr>
              <w:t xml:space="preserve">                  Độc lập - Tự </w:t>
            </w:r>
            <w:r>
              <w:rPr>
                <w:b/>
                <w:bCs/>
                <w:color w:val="000000"/>
                <w:sz w:val="28"/>
                <w:szCs w:val="28"/>
              </w:rPr>
              <w:t>d</w:t>
            </w:r>
            <w:r w:rsidRPr="00F71B24">
              <w:rPr>
                <w:b/>
                <w:bCs/>
                <w:color w:val="000000"/>
                <w:sz w:val="28"/>
                <w:szCs w:val="28"/>
              </w:rPr>
              <w:t xml:space="preserve">o - Hạnh </w:t>
            </w:r>
            <w:r>
              <w:rPr>
                <w:b/>
                <w:bCs/>
                <w:color w:val="000000"/>
                <w:sz w:val="28"/>
                <w:szCs w:val="28"/>
              </w:rPr>
              <w:t>p</w:t>
            </w:r>
            <w:r w:rsidRPr="00F71B24">
              <w:rPr>
                <w:b/>
                <w:bCs/>
                <w:color w:val="000000"/>
                <w:sz w:val="28"/>
                <w:szCs w:val="28"/>
              </w:rPr>
              <w:t>húc</w:t>
            </w:r>
          </w:p>
          <w:p w:rsidR="000A4C29" w:rsidRPr="00D8702D" w:rsidRDefault="001B6D63" w:rsidP="0094662E">
            <w:pPr>
              <w:jc w:val="center"/>
              <w:rPr>
                <w:i/>
                <w:iCs/>
                <w:color w:val="000000"/>
                <w:sz w:val="27"/>
                <w:szCs w:val="27"/>
              </w:rPr>
            </w:pPr>
            <w:r w:rsidRPr="001B6D63">
              <w:rPr>
                <w:noProof/>
              </w:rPr>
              <w:pict>
                <v:line id="Line 2" o:spid="_x0000_s1027" style="position:absolute;left:0;text-align:left;z-index:251656192;visibility:visible" from="68.05pt,3.2pt" to="229.85pt,3.2pt"/>
              </w:pict>
            </w:r>
            <w:r w:rsidR="000A4C29" w:rsidRPr="00D8702D">
              <w:rPr>
                <w:i/>
                <w:iCs/>
                <w:color w:val="000000"/>
                <w:sz w:val="27"/>
                <w:szCs w:val="27"/>
              </w:rPr>
              <w:t xml:space="preserve"> </w:t>
            </w:r>
          </w:p>
          <w:p w:rsidR="000A4C29" w:rsidRPr="00F71B24" w:rsidRDefault="000A4C29" w:rsidP="007911F4">
            <w:pPr>
              <w:jc w:val="center"/>
              <w:rPr>
                <w:i/>
                <w:iCs/>
                <w:color w:val="000000"/>
                <w:sz w:val="26"/>
                <w:szCs w:val="26"/>
              </w:rPr>
            </w:pPr>
            <w:r w:rsidRPr="00D8702D">
              <w:rPr>
                <w:i/>
                <w:iCs/>
                <w:color w:val="000000"/>
                <w:sz w:val="27"/>
                <w:szCs w:val="27"/>
              </w:rPr>
              <w:t xml:space="preserve">        </w:t>
            </w:r>
            <w:r w:rsidRPr="00F71B24">
              <w:rPr>
                <w:i/>
                <w:iCs/>
                <w:color w:val="000000"/>
                <w:sz w:val="26"/>
                <w:szCs w:val="26"/>
              </w:rPr>
              <w:t>Đắk Lắk</w:t>
            </w:r>
            <w:r>
              <w:rPr>
                <w:i/>
                <w:iCs/>
                <w:color w:val="000000"/>
                <w:sz w:val="26"/>
                <w:szCs w:val="26"/>
              </w:rPr>
              <w:t xml:space="preserve">, ngày          tháng </w:t>
            </w:r>
            <w:r w:rsidRPr="00F71B24">
              <w:rPr>
                <w:i/>
                <w:iCs/>
                <w:color w:val="000000"/>
                <w:sz w:val="26"/>
                <w:szCs w:val="26"/>
              </w:rPr>
              <w:t>1</w:t>
            </w:r>
            <w:r>
              <w:rPr>
                <w:i/>
                <w:iCs/>
                <w:color w:val="000000"/>
                <w:sz w:val="26"/>
                <w:szCs w:val="26"/>
              </w:rPr>
              <w:t>1</w:t>
            </w:r>
            <w:r w:rsidRPr="00F71B24">
              <w:rPr>
                <w:i/>
                <w:iCs/>
                <w:color w:val="000000"/>
                <w:sz w:val="26"/>
                <w:szCs w:val="26"/>
              </w:rPr>
              <w:t xml:space="preserve"> năm 201</w:t>
            </w:r>
            <w:r>
              <w:rPr>
                <w:i/>
                <w:iCs/>
                <w:color w:val="000000"/>
                <w:sz w:val="26"/>
                <w:szCs w:val="26"/>
              </w:rPr>
              <w:t>9</w:t>
            </w:r>
          </w:p>
        </w:tc>
      </w:tr>
    </w:tbl>
    <w:p w:rsidR="000A4C29" w:rsidRPr="00D8702D" w:rsidRDefault="000A4C29" w:rsidP="00F33A9C">
      <w:pPr>
        <w:spacing w:before="120" w:after="120"/>
        <w:jc w:val="center"/>
        <w:rPr>
          <w:b/>
          <w:bCs/>
          <w:sz w:val="27"/>
          <w:szCs w:val="27"/>
        </w:rPr>
      </w:pPr>
    </w:p>
    <w:p w:rsidR="000A4C29" w:rsidRPr="00084CA8" w:rsidRDefault="000A4C29" w:rsidP="00F33A9C">
      <w:pPr>
        <w:spacing w:before="120" w:after="120"/>
        <w:jc w:val="center"/>
        <w:rPr>
          <w:b/>
          <w:bCs/>
          <w:sz w:val="30"/>
          <w:szCs w:val="30"/>
        </w:rPr>
      </w:pPr>
      <w:r w:rsidRPr="00084CA8">
        <w:rPr>
          <w:b/>
          <w:bCs/>
          <w:sz w:val="30"/>
          <w:szCs w:val="30"/>
        </w:rPr>
        <w:t>BÁO CÁO</w:t>
      </w:r>
    </w:p>
    <w:p w:rsidR="000A4C29" w:rsidRPr="0098547F" w:rsidRDefault="000A4C29" w:rsidP="000A03B9">
      <w:pPr>
        <w:pStyle w:val="Heading5"/>
        <w:rPr>
          <w:sz w:val="30"/>
          <w:szCs w:val="30"/>
        </w:rPr>
      </w:pPr>
      <w:r w:rsidRPr="0098547F">
        <w:rPr>
          <w:sz w:val="30"/>
          <w:szCs w:val="30"/>
        </w:rPr>
        <w:t>Tổng kết niên vụ cà phê 201</w:t>
      </w:r>
      <w:r>
        <w:rPr>
          <w:sz w:val="30"/>
          <w:szCs w:val="30"/>
        </w:rPr>
        <w:t>8</w:t>
      </w:r>
      <w:r w:rsidRPr="0098547F">
        <w:rPr>
          <w:sz w:val="30"/>
          <w:szCs w:val="30"/>
        </w:rPr>
        <w:t xml:space="preserve"> - 201</w:t>
      </w:r>
      <w:r>
        <w:rPr>
          <w:sz w:val="30"/>
          <w:szCs w:val="30"/>
        </w:rPr>
        <w:t>9</w:t>
      </w:r>
    </w:p>
    <w:p w:rsidR="000A4C29" w:rsidRPr="00084CA8" w:rsidRDefault="000A4C29" w:rsidP="000A03B9">
      <w:pPr>
        <w:jc w:val="center"/>
        <w:rPr>
          <w:b/>
          <w:bCs/>
          <w:sz w:val="28"/>
          <w:szCs w:val="28"/>
        </w:rPr>
      </w:pPr>
      <w:r w:rsidRPr="0098547F">
        <w:rPr>
          <w:b/>
          <w:bCs/>
          <w:sz w:val="30"/>
          <w:szCs w:val="30"/>
        </w:rPr>
        <w:t xml:space="preserve"> và kế hoạch niên vụ cà phê 201</w:t>
      </w:r>
      <w:r>
        <w:rPr>
          <w:b/>
          <w:bCs/>
          <w:sz w:val="30"/>
          <w:szCs w:val="30"/>
        </w:rPr>
        <w:t>9</w:t>
      </w:r>
      <w:r w:rsidRPr="0098547F">
        <w:rPr>
          <w:b/>
          <w:bCs/>
          <w:sz w:val="30"/>
          <w:szCs w:val="30"/>
        </w:rPr>
        <w:t xml:space="preserve"> - 20</w:t>
      </w:r>
      <w:r>
        <w:rPr>
          <w:b/>
          <w:bCs/>
          <w:sz w:val="30"/>
          <w:szCs w:val="30"/>
        </w:rPr>
        <w:t>20</w:t>
      </w:r>
    </w:p>
    <w:p w:rsidR="000A4C29" w:rsidRPr="00D8702D" w:rsidRDefault="001B6D63">
      <w:pPr>
        <w:pStyle w:val="Heading6"/>
        <w:rPr>
          <w:sz w:val="27"/>
          <w:szCs w:val="27"/>
        </w:rPr>
      </w:pPr>
      <w:r w:rsidRPr="001B6D63">
        <w:rPr>
          <w:noProof/>
        </w:rPr>
        <w:pict>
          <v:line id="Line 18" o:spid="_x0000_s1028" style="position:absolute;left:0;text-align:left;z-index:251658240;visibility:visible" from="132pt,3.1pt" to="312pt,3.1pt"/>
        </w:pict>
      </w:r>
    </w:p>
    <w:p w:rsidR="000A4C29" w:rsidRPr="0098547F" w:rsidRDefault="000A4C29" w:rsidP="0098547F">
      <w:pPr>
        <w:pStyle w:val="Heading5"/>
        <w:numPr>
          <w:ilvl w:val="0"/>
          <w:numId w:val="11"/>
        </w:numPr>
        <w:spacing w:before="120" w:after="120"/>
        <w:jc w:val="left"/>
        <w:rPr>
          <w:sz w:val="28"/>
          <w:szCs w:val="28"/>
        </w:rPr>
      </w:pPr>
      <w:r>
        <w:rPr>
          <w:sz w:val="28"/>
          <w:szCs w:val="28"/>
        </w:rPr>
        <w:t>TÌNH HÌNH CHUNG</w:t>
      </w:r>
    </w:p>
    <w:p w:rsidR="000A4C29" w:rsidRDefault="000A4C29" w:rsidP="004665E7">
      <w:pPr>
        <w:ind w:firstLine="720"/>
        <w:jc w:val="both"/>
        <w:rPr>
          <w:sz w:val="28"/>
          <w:szCs w:val="28"/>
        </w:rPr>
      </w:pPr>
      <w:r w:rsidRPr="00834A8E">
        <w:rPr>
          <w:sz w:val="28"/>
          <w:szCs w:val="28"/>
        </w:rPr>
        <w:t xml:space="preserve">Cà phê là sản phẩm nông nghiệp chủ lực trong cơ cấu nền kinh tế tỉnh Đắk Lắk, là sản phẩm chiếm tỷ trọng lớn trong tổng sản phẩm xã hội và kim ngạch xuất khẩu hàng năm của tỉnh, cà phê ảnh hưởng trực tiếp đến nguồn thu nhập của đại đa số người </w:t>
      </w:r>
      <w:r>
        <w:rPr>
          <w:sz w:val="28"/>
          <w:szCs w:val="28"/>
        </w:rPr>
        <w:t>dân sinh sống trên địa bàn tỉnh</w:t>
      </w:r>
      <w:r w:rsidRPr="00834A8E">
        <w:rPr>
          <w:sz w:val="28"/>
          <w:szCs w:val="28"/>
        </w:rPr>
        <w:t>.</w:t>
      </w:r>
      <w:r>
        <w:rPr>
          <w:sz w:val="28"/>
          <w:szCs w:val="28"/>
        </w:rPr>
        <w:t xml:space="preserve"> </w:t>
      </w:r>
    </w:p>
    <w:p w:rsidR="000A4C29" w:rsidRDefault="000A4C29" w:rsidP="004665E7">
      <w:pPr>
        <w:ind w:firstLine="720"/>
        <w:jc w:val="both"/>
        <w:rPr>
          <w:sz w:val="28"/>
          <w:szCs w:val="28"/>
        </w:rPr>
      </w:pPr>
      <w:r w:rsidRPr="00782ADF">
        <w:rPr>
          <w:sz w:val="28"/>
          <w:szCs w:val="28"/>
        </w:rPr>
        <w:t>Ngành sản xuất cà phê tại Đắk</w:t>
      </w:r>
      <w:r>
        <w:rPr>
          <w:sz w:val="28"/>
          <w:szCs w:val="28"/>
        </w:rPr>
        <w:t xml:space="preserve"> </w:t>
      </w:r>
      <w:r w:rsidRPr="00782ADF">
        <w:rPr>
          <w:sz w:val="28"/>
          <w:szCs w:val="28"/>
        </w:rPr>
        <w:t>Lắk đã tạo công ăn việc làm ổn định cho trên 300.000 người trực tiếp sản xuất và gần 200.000 ng</w:t>
      </w:r>
      <w:r>
        <w:rPr>
          <w:sz w:val="28"/>
          <w:szCs w:val="28"/>
        </w:rPr>
        <w:t>ười có liên quan đến cây cà phê.</w:t>
      </w:r>
      <w:r w:rsidRPr="00782ADF">
        <w:rPr>
          <w:sz w:val="28"/>
          <w:szCs w:val="28"/>
        </w:rPr>
        <w:t xml:space="preserve"> Hiện tại và trong nhiều năm đến, cây cà phê vẫn giữ một vai trò hết sức quan trọng trong nền kinh tế của tỉnh Đắk Lắk.</w:t>
      </w:r>
      <w:r w:rsidRPr="004F52AF">
        <w:rPr>
          <w:sz w:val="28"/>
          <w:szCs w:val="28"/>
        </w:rPr>
        <w:t xml:space="preserve"> </w:t>
      </w:r>
      <w:r>
        <w:rPr>
          <w:sz w:val="28"/>
          <w:szCs w:val="28"/>
        </w:rPr>
        <w:t>Sự phát triển bền vững của ngành cà phê gắn liền với sự phát triển kinh tế xã hội và ổn định chính trị xã hội của</w:t>
      </w:r>
      <w:r w:rsidRPr="00143F1A">
        <w:rPr>
          <w:sz w:val="28"/>
          <w:szCs w:val="28"/>
        </w:rPr>
        <w:t xml:space="preserve"> </w:t>
      </w:r>
      <w:r>
        <w:rPr>
          <w:sz w:val="28"/>
          <w:szCs w:val="28"/>
        </w:rPr>
        <w:t>tỉnh Đắk Lắk.</w:t>
      </w:r>
    </w:p>
    <w:p w:rsidR="000A4C29" w:rsidRDefault="000A4C29" w:rsidP="004665E7">
      <w:pPr>
        <w:ind w:firstLine="720"/>
        <w:jc w:val="both"/>
        <w:rPr>
          <w:sz w:val="28"/>
          <w:szCs w:val="28"/>
        </w:rPr>
      </w:pPr>
      <w:r>
        <w:rPr>
          <w:sz w:val="28"/>
          <w:szCs w:val="28"/>
        </w:rPr>
        <w:t xml:space="preserve">Với </w:t>
      </w:r>
      <w:r w:rsidRPr="00782ADF">
        <w:rPr>
          <w:sz w:val="28"/>
          <w:szCs w:val="28"/>
        </w:rPr>
        <w:t>diện tích</w:t>
      </w:r>
      <w:r>
        <w:rPr>
          <w:sz w:val="28"/>
          <w:szCs w:val="28"/>
        </w:rPr>
        <w:t xml:space="preserve"> 203.063 ha, </w:t>
      </w:r>
      <w:r w:rsidRPr="00DF3E96">
        <w:rPr>
          <w:sz w:val="28"/>
          <w:szCs w:val="28"/>
        </w:rPr>
        <w:t>sản lượng đạt trên 4</w:t>
      </w:r>
      <w:r>
        <w:rPr>
          <w:sz w:val="28"/>
          <w:szCs w:val="28"/>
        </w:rPr>
        <w:t>70.000 tấn cà phê nhân/năm, Đắk Lắk là tỉnh sản xuất</w:t>
      </w:r>
      <w:r w:rsidRPr="00782ADF">
        <w:rPr>
          <w:sz w:val="28"/>
          <w:szCs w:val="28"/>
        </w:rPr>
        <w:t xml:space="preserve"> cà phê lớn nhất của cả nước</w:t>
      </w:r>
      <w:r>
        <w:rPr>
          <w:sz w:val="28"/>
          <w:szCs w:val="28"/>
        </w:rPr>
        <w:t>.</w:t>
      </w:r>
      <w:r w:rsidRPr="00782ADF">
        <w:rPr>
          <w:sz w:val="28"/>
          <w:szCs w:val="28"/>
        </w:rPr>
        <w:t xml:space="preserve"> Cây cà phê không chỉ có ý nghĩa về mặt kinh tế – xã hội mà còn có ý nghĩa to lớn về văn hóa du lịch. Quá trình phát triển ngành cà phê kết hợp với phát triển du lịch sinh thái, văn hóa bản địa, đã thu hút ngày càng tăng lượng du khách đến thăm quan du lịch tại Đắk</w:t>
      </w:r>
      <w:r>
        <w:rPr>
          <w:sz w:val="28"/>
          <w:szCs w:val="28"/>
        </w:rPr>
        <w:t xml:space="preserve"> </w:t>
      </w:r>
      <w:r w:rsidRPr="00782ADF">
        <w:rPr>
          <w:sz w:val="28"/>
          <w:szCs w:val="28"/>
        </w:rPr>
        <w:t>Lắk</w:t>
      </w:r>
      <w:r>
        <w:rPr>
          <w:sz w:val="28"/>
          <w:szCs w:val="28"/>
        </w:rPr>
        <w:t>.</w:t>
      </w:r>
    </w:p>
    <w:p w:rsidR="000A4C29" w:rsidRPr="00DF3E96" w:rsidRDefault="000A4C29" w:rsidP="004665E7">
      <w:pPr>
        <w:spacing w:before="120" w:after="120"/>
        <w:ind w:firstLine="720"/>
        <w:jc w:val="both"/>
        <w:rPr>
          <w:sz w:val="28"/>
          <w:szCs w:val="28"/>
        </w:rPr>
      </w:pPr>
      <w:r w:rsidRPr="00DF3E96">
        <w:rPr>
          <w:sz w:val="28"/>
          <w:szCs w:val="28"/>
        </w:rPr>
        <w:t>Nhận thức được vai trò to lớn của ngành hàng sản xuất cà phê đối với sự ổn định và phát triển kinh tế xã hội của tỉnh. Ngay từ năm 2008 T</w:t>
      </w:r>
      <w:r>
        <w:rPr>
          <w:sz w:val="28"/>
          <w:szCs w:val="28"/>
        </w:rPr>
        <w:t>ỉnh</w:t>
      </w:r>
      <w:r w:rsidRPr="00DF3E96">
        <w:rPr>
          <w:sz w:val="28"/>
          <w:szCs w:val="28"/>
        </w:rPr>
        <w:t xml:space="preserve"> ủy Đắk Lắk </w:t>
      </w:r>
      <w:r w:rsidRPr="00DF3E96">
        <w:rPr>
          <w:color w:val="000000"/>
          <w:sz w:val="28"/>
          <w:szCs w:val="28"/>
          <w:lang w:eastAsia="vi-VN"/>
        </w:rPr>
        <w:t>(khóa XIV)</w:t>
      </w:r>
      <w:r w:rsidRPr="00DF3E96">
        <w:rPr>
          <w:sz w:val="28"/>
          <w:szCs w:val="28"/>
        </w:rPr>
        <w:t xml:space="preserve"> đã ban hành Nghị quyết 08/NQ-TU</w:t>
      </w:r>
      <w:r w:rsidRPr="00DF3E96">
        <w:rPr>
          <w:color w:val="000000"/>
          <w:sz w:val="28"/>
          <w:szCs w:val="28"/>
          <w:lang w:eastAsia="vi-VN"/>
        </w:rPr>
        <w:t xml:space="preserve"> về “Phát triển cà phê bền vững trong thời kỳ mới”</w:t>
      </w:r>
      <w:r w:rsidRPr="00DF3E96">
        <w:rPr>
          <w:sz w:val="28"/>
          <w:szCs w:val="28"/>
        </w:rPr>
        <w:t>, HĐND tỉnh ban hành Nghị quyết 2</w:t>
      </w:r>
      <w:r>
        <w:rPr>
          <w:sz w:val="28"/>
          <w:szCs w:val="28"/>
        </w:rPr>
        <w:t>4</w:t>
      </w:r>
      <w:r w:rsidRPr="00DF3E96">
        <w:rPr>
          <w:sz w:val="28"/>
          <w:szCs w:val="28"/>
        </w:rPr>
        <w:t>/</w:t>
      </w:r>
      <w:r>
        <w:rPr>
          <w:sz w:val="28"/>
          <w:szCs w:val="28"/>
        </w:rPr>
        <w:t>2017/</w:t>
      </w:r>
      <w:r w:rsidRPr="00DF3E96">
        <w:rPr>
          <w:sz w:val="28"/>
          <w:szCs w:val="28"/>
        </w:rPr>
        <w:t xml:space="preserve">NQ-HDND và Ủy ban Nhân dân tỉnh Đăk Lăk đã ban hành Quyết định số </w:t>
      </w:r>
      <w:r>
        <w:rPr>
          <w:sz w:val="28"/>
          <w:szCs w:val="28"/>
        </w:rPr>
        <w:t>2811/</w:t>
      </w:r>
      <w:r w:rsidRPr="00DF3E96">
        <w:rPr>
          <w:sz w:val="28"/>
          <w:szCs w:val="28"/>
        </w:rPr>
        <w:t>QĐ-UBND về việc phát triển cà phê bền vững đến năm 20</w:t>
      </w:r>
      <w:r>
        <w:rPr>
          <w:sz w:val="28"/>
          <w:szCs w:val="28"/>
        </w:rPr>
        <w:t>20</w:t>
      </w:r>
      <w:r w:rsidRPr="00DF3E96">
        <w:rPr>
          <w:sz w:val="28"/>
          <w:szCs w:val="28"/>
        </w:rPr>
        <w:t xml:space="preserve"> và định hướng đến năm 20</w:t>
      </w:r>
      <w:r>
        <w:rPr>
          <w:sz w:val="28"/>
          <w:szCs w:val="28"/>
        </w:rPr>
        <w:t>30</w:t>
      </w:r>
      <w:r w:rsidRPr="00DF3E96">
        <w:rPr>
          <w:sz w:val="28"/>
          <w:szCs w:val="28"/>
        </w:rPr>
        <w:t>. Đến nay, đã đạt được một số kết quả bước đầu, song so với mục tiêu và yêu cầu đặt ra của thực tiễn sản xuất vẫn chưa đáp ứng được và cần phải có sự nỗ lực hơn nữa của ngành hàng cà phê, để tiếp tục phát triển cà phê bền vững trong thời gian tới, nhằm tạo dựng một ngành hàng mang tính cạnh tranh cao.</w:t>
      </w:r>
    </w:p>
    <w:p w:rsidR="000A4C29" w:rsidRPr="0098547F" w:rsidRDefault="000A4C29" w:rsidP="0098547F">
      <w:pPr>
        <w:shd w:val="clear" w:color="auto" w:fill="F7FAF1"/>
        <w:spacing w:before="120" w:after="120"/>
        <w:ind w:firstLine="720"/>
        <w:jc w:val="both"/>
        <w:rPr>
          <w:sz w:val="28"/>
          <w:szCs w:val="28"/>
        </w:rPr>
      </w:pPr>
      <w:r w:rsidRPr="0098547F">
        <w:rPr>
          <w:sz w:val="28"/>
          <w:szCs w:val="28"/>
        </w:rPr>
        <w:t>Với sự chỉ đạo, điều hành của UBND tỉnh</w:t>
      </w:r>
      <w:r>
        <w:rPr>
          <w:sz w:val="28"/>
          <w:szCs w:val="28"/>
        </w:rPr>
        <w:t>,</w:t>
      </w:r>
      <w:r w:rsidRPr="0098547F">
        <w:rPr>
          <w:sz w:val="28"/>
          <w:szCs w:val="28"/>
        </w:rPr>
        <w:t xml:space="preserve"> các ngành, các cấp trong tỉnh</w:t>
      </w:r>
      <w:r>
        <w:rPr>
          <w:sz w:val="28"/>
          <w:szCs w:val="28"/>
        </w:rPr>
        <w:t>,</w:t>
      </w:r>
      <w:r w:rsidRPr="0098547F">
        <w:rPr>
          <w:sz w:val="28"/>
          <w:szCs w:val="28"/>
        </w:rPr>
        <w:t xml:space="preserve"> </w:t>
      </w:r>
      <w:r>
        <w:rPr>
          <w:sz w:val="28"/>
          <w:szCs w:val="28"/>
        </w:rPr>
        <w:t>n</w:t>
      </w:r>
      <w:r w:rsidRPr="0098547F">
        <w:rPr>
          <w:sz w:val="28"/>
          <w:szCs w:val="28"/>
        </w:rPr>
        <w:t>iên vụ cà phê 201</w:t>
      </w:r>
      <w:r>
        <w:rPr>
          <w:sz w:val="28"/>
          <w:szCs w:val="28"/>
        </w:rPr>
        <w:t>8</w:t>
      </w:r>
      <w:r w:rsidRPr="0098547F">
        <w:rPr>
          <w:sz w:val="28"/>
          <w:szCs w:val="28"/>
        </w:rPr>
        <w:t>-201</w:t>
      </w:r>
      <w:r>
        <w:rPr>
          <w:sz w:val="28"/>
          <w:szCs w:val="28"/>
        </w:rPr>
        <w:t>9</w:t>
      </w:r>
      <w:r w:rsidRPr="0098547F">
        <w:rPr>
          <w:sz w:val="28"/>
          <w:szCs w:val="28"/>
        </w:rPr>
        <w:t xml:space="preserve"> đạt kết quả như sau:</w:t>
      </w:r>
    </w:p>
    <w:p w:rsidR="000A4C29" w:rsidRPr="0098547F" w:rsidRDefault="000A4C29" w:rsidP="0098547F">
      <w:pPr>
        <w:spacing w:before="120" w:after="120"/>
        <w:ind w:firstLine="720"/>
        <w:jc w:val="both"/>
        <w:rPr>
          <w:b/>
          <w:bCs/>
          <w:sz w:val="28"/>
          <w:szCs w:val="28"/>
        </w:rPr>
      </w:pPr>
      <w:r w:rsidRPr="0098547F">
        <w:rPr>
          <w:b/>
          <w:bCs/>
          <w:sz w:val="28"/>
          <w:szCs w:val="28"/>
        </w:rPr>
        <w:t>I. Tình hình sản xuất, chế biến cà phê niên vụ 201</w:t>
      </w:r>
      <w:r>
        <w:rPr>
          <w:b/>
          <w:bCs/>
          <w:sz w:val="28"/>
          <w:szCs w:val="28"/>
        </w:rPr>
        <w:t>8</w:t>
      </w:r>
      <w:r w:rsidRPr="0098547F">
        <w:rPr>
          <w:b/>
          <w:bCs/>
          <w:sz w:val="28"/>
          <w:szCs w:val="28"/>
        </w:rPr>
        <w:t>-201</w:t>
      </w:r>
      <w:r>
        <w:rPr>
          <w:b/>
          <w:bCs/>
          <w:sz w:val="28"/>
          <w:szCs w:val="28"/>
        </w:rPr>
        <w:t>9</w:t>
      </w:r>
      <w:r w:rsidRPr="0098547F">
        <w:rPr>
          <w:b/>
          <w:bCs/>
          <w:sz w:val="28"/>
          <w:szCs w:val="28"/>
        </w:rPr>
        <w:t>:</w:t>
      </w:r>
    </w:p>
    <w:p w:rsidR="000A4C29" w:rsidRPr="0098547F" w:rsidRDefault="000A4C29" w:rsidP="0098547F">
      <w:pPr>
        <w:numPr>
          <w:ilvl w:val="0"/>
          <w:numId w:val="14"/>
        </w:numPr>
        <w:spacing w:before="120" w:after="120"/>
        <w:jc w:val="both"/>
        <w:rPr>
          <w:b/>
          <w:bCs/>
          <w:sz w:val="28"/>
          <w:szCs w:val="28"/>
        </w:rPr>
      </w:pPr>
      <w:r w:rsidRPr="0098547F">
        <w:rPr>
          <w:b/>
          <w:bCs/>
          <w:sz w:val="28"/>
          <w:szCs w:val="28"/>
        </w:rPr>
        <w:t>Tình hình sản xuất:</w:t>
      </w:r>
    </w:p>
    <w:p w:rsidR="000A4C29" w:rsidRPr="0098547F" w:rsidRDefault="000A4C29" w:rsidP="0098547F">
      <w:pPr>
        <w:spacing w:before="120" w:after="120"/>
        <w:ind w:left="720"/>
        <w:jc w:val="both"/>
        <w:rPr>
          <w:i/>
          <w:iCs/>
          <w:sz w:val="28"/>
          <w:szCs w:val="28"/>
        </w:rPr>
      </w:pPr>
      <w:r w:rsidRPr="0098547F">
        <w:rPr>
          <w:i/>
          <w:iCs/>
          <w:sz w:val="28"/>
          <w:szCs w:val="28"/>
        </w:rPr>
        <w:t>Về diện tích cà phê:</w:t>
      </w:r>
    </w:p>
    <w:p w:rsidR="000A4C29" w:rsidRDefault="000A4C29" w:rsidP="0098547F">
      <w:pPr>
        <w:pStyle w:val="BodyText"/>
        <w:spacing w:before="120" w:after="120"/>
        <w:ind w:firstLine="720"/>
        <w:rPr>
          <w:color w:val="000000"/>
          <w:sz w:val="28"/>
          <w:szCs w:val="28"/>
          <w:lang w:val="vi-VN"/>
        </w:rPr>
      </w:pPr>
      <w:r w:rsidRPr="0098547F">
        <w:rPr>
          <w:color w:val="000000"/>
          <w:sz w:val="28"/>
          <w:szCs w:val="28"/>
        </w:rPr>
        <w:lastRenderedPageBreak/>
        <w:t>Theo số liệu của Cục Thống kê tỉnh Đắk Lắk, diện tích cà phê niên vụ 201</w:t>
      </w:r>
      <w:r>
        <w:rPr>
          <w:color w:val="000000"/>
          <w:sz w:val="28"/>
          <w:szCs w:val="28"/>
        </w:rPr>
        <w:t>8</w:t>
      </w:r>
      <w:r w:rsidRPr="0098547F">
        <w:rPr>
          <w:color w:val="000000"/>
          <w:sz w:val="28"/>
          <w:szCs w:val="28"/>
        </w:rPr>
        <w:t>-201</w:t>
      </w:r>
      <w:r>
        <w:rPr>
          <w:color w:val="000000"/>
          <w:sz w:val="28"/>
          <w:szCs w:val="28"/>
        </w:rPr>
        <w:t>9</w:t>
      </w:r>
      <w:r w:rsidRPr="0098547F">
        <w:rPr>
          <w:color w:val="000000"/>
          <w:sz w:val="28"/>
          <w:szCs w:val="28"/>
        </w:rPr>
        <w:t xml:space="preserve"> là 20</w:t>
      </w:r>
      <w:r>
        <w:rPr>
          <w:color w:val="000000"/>
          <w:sz w:val="28"/>
          <w:szCs w:val="28"/>
        </w:rPr>
        <w:t>3.063</w:t>
      </w:r>
      <w:r w:rsidRPr="0098547F">
        <w:rPr>
          <w:color w:val="000000"/>
          <w:sz w:val="28"/>
          <w:szCs w:val="28"/>
        </w:rPr>
        <w:t xml:space="preserve"> ha, </w:t>
      </w:r>
      <w:r>
        <w:rPr>
          <w:color w:val="000000"/>
          <w:sz w:val="28"/>
          <w:szCs w:val="28"/>
        </w:rPr>
        <w:t>giảm</w:t>
      </w:r>
      <w:r w:rsidRPr="0098547F">
        <w:rPr>
          <w:color w:val="000000"/>
          <w:sz w:val="28"/>
          <w:szCs w:val="28"/>
        </w:rPr>
        <w:t xml:space="preserve"> 1.</w:t>
      </w:r>
      <w:r>
        <w:rPr>
          <w:color w:val="000000"/>
          <w:sz w:val="28"/>
          <w:szCs w:val="28"/>
        </w:rPr>
        <w:t>745</w:t>
      </w:r>
      <w:r w:rsidRPr="0098547F">
        <w:rPr>
          <w:color w:val="000000"/>
          <w:sz w:val="28"/>
          <w:szCs w:val="28"/>
        </w:rPr>
        <w:t xml:space="preserve"> ha so với niên vụ trước</w:t>
      </w:r>
      <w:r>
        <w:rPr>
          <w:color w:val="000000"/>
          <w:sz w:val="28"/>
          <w:szCs w:val="28"/>
        </w:rPr>
        <w:t xml:space="preserve">, </w:t>
      </w:r>
      <w:r w:rsidRPr="0098547F">
        <w:rPr>
          <w:color w:val="000000"/>
          <w:sz w:val="28"/>
          <w:szCs w:val="28"/>
        </w:rPr>
        <w:t>trong đó diện tích cho sản phẩm 187.</w:t>
      </w:r>
      <w:r>
        <w:rPr>
          <w:color w:val="000000"/>
          <w:sz w:val="28"/>
          <w:szCs w:val="28"/>
        </w:rPr>
        <w:t>940</w:t>
      </w:r>
      <w:r w:rsidRPr="0098547F">
        <w:rPr>
          <w:color w:val="000000"/>
          <w:sz w:val="28"/>
          <w:szCs w:val="28"/>
        </w:rPr>
        <w:t xml:space="preserve"> ha,</w:t>
      </w:r>
      <w:r w:rsidRPr="0098547F">
        <w:rPr>
          <w:color w:val="000000"/>
          <w:sz w:val="28"/>
          <w:szCs w:val="28"/>
          <w:lang w:val="vi-VN"/>
        </w:rPr>
        <w:t xml:space="preserve"> </w:t>
      </w:r>
      <w:r>
        <w:rPr>
          <w:color w:val="000000"/>
          <w:sz w:val="28"/>
          <w:szCs w:val="28"/>
        </w:rPr>
        <w:t>tăng</w:t>
      </w:r>
      <w:r w:rsidRPr="0098547F">
        <w:rPr>
          <w:color w:val="000000"/>
          <w:sz w:val="28"/>
          <w:szCs w:val="28"/>
        </w:rPr>
        <w:t xml:space="preserve"> </w:t>
      </w:r>
      <w:r>
        <w:rPr>
          <w:color w:val="000000"/>
          <w:sz w:val="28"/>
          <w:szCs w:val="28"/>
        </w:rPr>
        <w:t>661</w:t>
      </w:r>
      <w:r w:rsidRPr="0098547F">
        <w:rPr>
          <w:color w:val="000000"/>
          <w:sz w:val="28"/>
          <w:szCs w:val="28"/>
        </w:rPr>
        <w:t xml:space="preserve"> ha so với niên vụ 201</w:t>
      </w:r>
      <w:r>
        <w:rPr>
          <w:color w:val="000000"/>
          <w:sz w:val="28"/>
          <w:szCs w:val="28"/>
        </w:rPr>
        <w:t>7</w:t>
      </w:r>
      <w:r w:rsidRPr="0098547F">
        <w:rPr>
          <w:color w:val="000000"/>
          <w:sz w:val="28"/>
          <w:szCs w:val="28"/>
        </w:rPr>
        <w:t>-201</w:t>
      </w:r>
      <w:r>
        <w:rPr>
          <w:color w:val="000000"/>
          <w:sz w:val="28"/>
          <w:szCs w:val="28"/>
        </w:rPr>
        <w:t>8</w:t>
      </w:r>
      <w:r w:rsidRPr="0098547F">
        <w:rPr>
          <w:color w:val="000000"/>
          <w:sz w:val="28"/>
          <w:szCs w:val="28"/>
        </w:rPr>
        <w:t>, n</w:t>
      </w:r>
      <w:r w:rsidRPr="0098547F">
        <w:rPr>
          <w:color w:val="000000"/>
          <w:sz w:val="28"/>
          <w:szCs w:val="28"/>
          <w:lang w:val="vi-VN"/>
        </w:rPr>
        <w:t>ăng suất bình quân đạt</w:t>
      </w:r>
      <w:r w:rsidRPr="0098547F">
        <w:rPr>
          <w:color w:val="000000"/>
          <w:sz w:val="28"/>
          <w:szCs w:val="28"/>
        </w:rPr>
        <w:t xml:space="preserve"> 2</w:t>
      </w:r>
      <w:r>
        <w:rPr>
          <w:color w:val="000000"/>
          <w:sz w:val="28"/>
          <w:szCs w:val="28"/>
        </w:rPr>
        <w:t>5,44</w:t>
      </w:r>
      <w:r w:rsidRPr="0098547F">
        <w:rPr>
          <w:color w:val="000000"/>
          <w:sz w:val="28"/>
          <w:szCs w:val="28"/>
        </w:rPr>
        <w:t xml:space="preserve"> tạ/ha, tăng </w:t>
      </w:r>
      <w:r>
        <w:rPr>
          <w:color w:val="000000"/>
          <w:sz w:val="28"/>
          <w:szCs w:val="28"/>
        </w:rPr>
        <w:t>0,89</w:t>
      </w:r>
      <w:r w:rsidRPr="0098547F">
        <w:rPr>
          <w:color w:val="000000"/>
          <w:sz w:val="28"/>
          <w:szCs w:val="28"/>
        </w:rPr>
        <w:t xml:space="preserve"> tạ/ha, tổng s</w:t>
      </w:r>
      <w:r w:rsidRPr="0098547F">
        <w:rPr>
          <w:color w:val="000000"/>
          <w:sz w:val="28"/>
          <w:szCs w:val="28"/>
          <w:lang w:val="vi-VN"/>
        </w:rPr>
        <w:t>ản lượng</w:t>
      </w:r>
      <w:r w:rsidRPr="0098547F">
        <w:rPr>
          <w:color w:val="000000"/>
          <w:sz w:val="28"/>
          <w:szCs w:val="28"/>
        </w:rPr>
        <w:t xml:space="preserve"> ước đạt </w:t>
      </w:r>
      <w:r>
        <w:rPr>
          <w:color w:val="000000"/>
          <w:sz w:val="28"/>
          <w:szCs w:val="28"/>
        </w:rPr>
        <w:t>478.083</w:t>
      </w:r>
      <w:r w:rsidRPr="0098547F">
        <w:rPr>
          <w:color w:val="000000"/>
          <w:sz w:val="28"/>
          <w:szCs w:val="28"/>
        </w:rPr>
        <w:t xml:space="preserve"> tấn, tăng </w:t>
      </w:r>
      <w:r>
        <w:rPr>
          <w:color w:val="000000"/>
          <w:sz w:val="28"/>
          <w:szCs w:val="28"/>
        </w:rPr>
        <w:t>18.298</w:t>
      </w:r>
      <w:r w:rsidRPr="0098547F">
        <w:rPr>
          <w:color w:val="000000"/>
          <w:sz w:val="28"/>
          <w:szCs w:val="28"/>
        </w:rPr>
        <w:t xml:space="preserve"> tấn so với niên vụ trước</w:t>
      </w:r>
      <w:r w:rsidRPr="0098547F">
        <w:rPr>
          <w:color w:val="000000"/>
          <w:sz w:val="28"/>
          <w:szCs w:val="28"/>
          <w:lang w:val="vi-VN"/>
        </w:rPr>
        <w:t>.</w:t>
      </w:r>
    </w:p>
    <w:p w:rsidR="000A4C29" w:rsidRPr="00FA74D1" w:rsidRDefault="000A4C29" w:rsidP="00DA3122">
      <w:pPr>
        <w:pStyle w:val="BodyText"/>
        <w:ind w:firstLine="720"/>
        <w:rPr>
          <w:color w:val="000000"/>
          <w:sz w:val="28"/>
          <w:szCs w:val="28"/>
          <w:lang w:val="vi-VN"/>
        </w:rPr>
      </w:pPr>
      <w:r w:rsidRPr="00FA74D1">
        <w:rPr>
          <w:color w:val="000000"/>
          <w:sz w:val="28"/>
          <w:szCs w:val="28"/>
          <w:lang w:val="vi-VN"/>
        </w:rPr>
        <w:t xml:space="preserve">Diện tích cà phê giảm so với niên vụ cà phê 2017- 2018 do một số nguyên nhân sau: hiện nay do giá cà phê ở mức thấp, người dân chuyển dần một số diện tích cà phê già cỗi sang trồng các loại cây ăn quả như bơ, sầu riêng có giá trị kinh tế cao hơn. Bên cạnh đó, diện tích cà phê ở những vùng không phù hợp hoặc không đủ nguồn nước các hộ dân cũng đã chủ động chuyển sang trồng các loại cây trồng khác. </w:t>
      </w:r>
    </w:p>
    <w:p w:rsidR="000A4C29" w:rsidRPr="00FA74D1" w:rsidRDefault="000A4C29" w:rsidP="00583C42">
      <w:pPr>
        <w:pStyle w:val="BodyText"/>
        <w:spacing w:before="120" w:after="120"/>
        <w:ind w:firstLine="720"/>
        <w:rPr>
          <w:color w:val="000000"/>
          <w:sz w:val="28"/>
          <w:szCs w:val="28"/>
          <w:lang w:val="vi-VN"/>
        </w:rPr>
      </w:pPr>
      <w:r w:rsidRPr="00583C42">
        <w:rPr>
          <w:i/>
          <w:iCs/>
          <w:color w:val="000000"/>
          <w:sz w:val="28"/>
          <w:szCs w:val="28"/>
          <w:lang w:val="vi-VN"/>
        </w:rPr>
        <w:t>Thực trạng sản xuất cà phê hiện nay trên địa bàn tỉnh đang diễn ra đó là</w:t>
      </w:r>
      <w:r w:rsidRPr="00583C42">
        <w:rPr>
          <w:color w:val="000000"/>
          <w:sz w:val="28"/>
          <w:szCs w:val="28"/>
          <w:lang w:val="vi-VN"/>
        </w:rPr>
        <w:t xml:space="preserve">: </w:t>
      </w:r>
      <w:r w:rsidRPr="00583C42">
        <w:rPr>
          <w:color w:val="000000"/>
          <w:sz w:val="28"/>
          <w:szCs w:val="28"/>
          <w:lang w:val="de-DE"/>
        </w:rPr>
        <w:t>Hình thức tổ chức sản xuất cà phê chủ yếu là sản xuất cá thể, quy mô nhỏ lẻ, manh mún.</w:t>
      </w:r>
      <w:r w:rsidRPr="00583C42">
        <w:rPr>
          <w:color w:val="000000"/>
          <w:sz w:val="28"/>
          <w:szCs w:val="28"/>
          <w:lang w:val="vi-VN"/>
        </w:rPr>
        <w:t xml:space="preserve"> </w:t>
      </w:r>
      <w:r w:rsidRPr="00FA74D1">
        <w:rPr>
          <w:color w:val="000000"/>
          <w:sz w:val="28"/>
          <w:szCs w:val="28"/>
          <w:lang w:val="vi-VN"/>
        </w:rPr>
        <w:t>Hiện</w:t>
      </w:r>
      <w:r w:rsidRPr="00583C42">
        <w:rPr>
          <w:color w:val="000000"/>
          <w:sz w:val="28"/>
          <w:szCs w:val="28"/>
          <w:lang w:val="vi-VN"/>
        </w:rPr>
        <w:t xml:space="preserve"> chỉ có khoảng </w:t>
      </w:r>
      <w:r w:rsidRPr="00FA74D1">
        <w:rPr>
          <w:color w:val="000000"/>
          <w:sz w:val="28"/>
          <w:szCs w:val="28"/>
          <w:lang w:val="vi-VN"/>
        </w:rPr>
        <w:t>trên 1</w:t>
      </w:r>
      <w:r w:rsidRPr="00583C42">
        <w:rPr>
          <w:color w:val="000000"/>
          <w:sz w:val="28"/>
          <w:szCs w:val="28"/>
          <w:lang w:val="vi-VN"/>
        </w:rPr>
        <w:t xml:space="preserve">0% diện tích cà phê </w:t>
      </w:r>
      <w:r w:rsidRPr="00FA74D1">
        <w:rPr>
          <w:color w:val="000000"/>
          <w:sz w:val="28"/>
          <w:szCs w:val="28"/>
          <w:lang w:val="vi-VN"/>
        </w:rPr>
        <w:t xml:space="preserve">sản xuất </w:t>
      </w:r>
      <w:r w:rsidRPr="00583C42">
        <w:rPr>
          <w:color w:val="000000"/>
          <w:sz w:val="28"/>
          <w:szCs w:val="28"/>
          <w:lang w:val="vi-VN"/>
        </w:rPr>
        <w:t xml:space="preserve">tập trung thành vùng chuyên canh do </w:t>
      </w:r>
      <w:r w:rsidRPr="00FA74D1">
        <w:rPr>
          <w:color w:val="000000"/>
          <w:sz w:val="28"/>
          <w:szCs w:val="28"/>
          <w:lang w:val="vi-VN"/>
        </w:rPr>
        <w:t>các</w:t>
      </w:r>
      <w:r w:rsidRPr="00583C42">
        <w:rPr>
          <w:color w:val="000000"/>
          <w:sz w:val="28"/>
          <w:szCs w:val="28"/>
          <w:lang w:val="vi-VN"/>
        </w:rPr>
        <w:t xml:space="preserve"> Công ty thuộc Tổng công ty cà phê Việt Nam</w:t>
      </w:r>
      <w:r w:rsidRPr="00FA74D1">
        <w:rPr>
          <w:color w:val="000000"/>
          <w:sz w:val="28"/>
          <w:szCs w:val="28"/>
          <w:lang w:val="vi-VN"/>
        </w:rPr>
        <w:t>,</w:t>
      </w:r>
      <w:r w:rsidRPr="00583C42">
        <w:rPr>
          <w:color w:val="000000"/>
          <w:sz w:val="28"/>
          <w:szCs w:val="28"/>
          <w:lang w:val="vi-VN"/>
        </w:rPr>
        <w:t xml:space="preserve"> </w:t>
      </w:r>
      <w:r w:rsidRPr="00FA74D1">
        <w:rPr>
          <w:color w:val="000000"/>
          <w:sz w:val="28"/>
          <w:szCs w:val="28"/>
          <w:lang w:val="vi-VN"/>
        </w:rPr>
        <w:t xml:space="preserve">các </w:t>
      </w:r>
      <w:r w:rsidRPr="00583C42">
        <w:rPr>
          <w:color w:val="000000"/>
          <w:sz w:val="28"/>
          <w:szCs w:val="28"/>
          <w:lang w:val="vi-VN"/>
        </w:rPr>
        <w:t xml:space="preserve">Công ty </w:t>
      </w:r>
      <w:r w:rsidRPr="00FA74D1">
        <w:rPr>
          <w:color w:val="000000"/>
          <w:sz w:val="28"/>
          <w:szCs w:val="28"/>
          <w:lang w:val="vi-VN"/>
        </w:rPr>
        <w:t xml:space="preserve">cà phê </w:t>
      </w:r>
      <w:r w:rsidRPr="00583C42">
        <w:rPr>
          <w:color w:val="000000"/>
          <w:sz w:val="28"/>
          <w:szCs w:val="28"/>
          <w:lang w:val="vi-VN"/>
        </w:rPr>
        <w:t>thuộc tỉnh</w:t>
      </w:r>
      <w:r w:rsidRPr="00FA74D1">
        <w:rPr>
          <w:color w:val="000000"/>
          <w:sz w:val="28"/>
          <w:szCs w:val="28"/>
          <w:lang w:val="vi-VN"/>
        </w:rPr>
        <w:t xml:space="preserve"> Đăk Lắk</w:t>
      </w:r>
      <w:r w:rsidRPr="00583C42">
        <w:rPr>
          <w:color w:val="000000"/>
          <w:sz w:val="28"/>
          <w:szCs w:val="28"/>
          <w:lang w:val="vi-VN"/>
        </w:rPr>
        <w:t xml:space="preserve"> và doanh nghiệp quản lý, còn lại </w:t>
      </w:r>
      <w:r w:rsidRPr="00FA74D1">
        <w:rPr>
          <w:color w:val="000000"/>
          <w:sz w:val="28"/>
          <w:szCs w:val="28"/>
          <w:lang w:val="vi-VN"/>
        </w:rPr>
        <w:t>gần 9</w:t>
      </w:r>
      <w:r w:rsidRPr="00583C42">
        <w:rPr>
          <w:color w:val="000000"/>
          <w:sz w:val="28"/>
          <w:szCs w:val="28"/>
          <w:lang w:val="vi-VN"/>
        </w:rPr>
        <w:t>0% diện tích cà phê của tỉnh là do nông dân tự trồng, chăm sóc và quản lý.</w:t>
      </w:r>
      <w:r w:rsidRPr="00FA74D1">
        <w:rPr>
          <w:color w:val="000000"/>
          <w:sz w:val="28"/>
          <w:szCs w:val="28"/>
          <w:lang w:val="vi-VN"/>
        </w:rPr>
        <w:t xml:space="preserve"> Việc cải tạo, tái canh cây cà phê già cỗi, sâu bệnh, chất lượng kém đang gặp khó khăn vì cần thực hiện quy trình kỹ thuật chặt chẽ, nghiêm ngặt và cần có thời gian, vốn đầu tư lớn. Tình trạng thu hái quả cà phê xanh diễn ra phổ biến, khâu chế biến còn bất cập, thiếu gắn kết giữa sản xuất, chế biến, tiêu thụ, một số doanh nghiệp kinh doanh trên địa bàn chưa quan tâm nhiều đến phát triển vùng nguyên liệu.</w:t>
      </w:r>
    </w:p>
    <w:p w:rsidR="000A4C29" w:rsidRPr="00FA74D1" w:rsidRDefault="000A4C29" w:rsidP="0098547F">
      <w:pPr>
        <w:spacing w:before="120" w:after="120"/>
        <w:jc w:val="both"/>
        <w:rPr>
          <w:i/>
          <w:iCs/>
          <w:sz w:val="28"/>
          <w:szCs w:val="28"/>
          <w:lang w:val="vi-VN"/>
        </w:rPr>
      </w:pPr>
      <w:r w:rsidRPr="00FA74D1">
        <w:rPr>
          <w:sz w:val="28"/>
          <w:szCs w:val="28"/>
          <w:lang w:val="vi-VN"/>
        </w:rPr>
        <w:tab/>
      </w:r>
      <w:r w:rsidRPr="00FA74D1">
        <w:rPr>
          <w:i/>
          <w:iCs/>
          <w:sz w:val="28"/>
          <w:szCs w:val="28"/>
          <w:lang w:val="vi-VN"/>
        </w:rPr>
        <w:t>Về tái canh cà phê:</w:t>
      </w:r>
    </w:p>
    <w:p w:rsidR="000A4C29" w:rsidRPr="00C859C1" w:rsidRDefault="000A4C29" w:rsidP="00AF4175">
      <w:pPr>
        <w:pStyle w:val="BodyText"/>
        <w:spacing w:before="120" w:after="120"/>
        <w:ind w:firstLine="605"/>
        <w:rPr>
          <w:spacing w:val="-2"/>
          <w:sz w:val="28"/>
          <w:szCs w:val="28"/>
          <w:lang w:val="de-DE"/>
        </w:rPr>
      </w:pPr>
      <w:r w:rsidRPr="0098547F">
        <w:rPr>
          <w:spacing w:val="-2"/>
          <w:sz w:val="28"/>
          <w:szCs w:val="28"/>
          <w:lang w:val="de-DE"/>
        </w:rPr>
        <w:tab/>
      </w:r>
      <w:r w:rsidRPr="00C859C1">
        <w:rPr>
          <w:spacing w:val="-2"/>
          <w:sz w:val="28"/>
          <w:szCs w:val="28"/>
          <w:lang w:val="de-DE"/>
        </w:rPr>
        <w:t>Sau 05 năm thực hiện chương trình tái canh cà phê, với kết quả đạt 31.232</w:t>
      </w:r>
      <w:r w:rsidRPr="00FA74D1">
        <w:rPr>
          <w:color w:val="000000"/>
          <w:sz w:val="28"/>
          <w:szCs w:val="28"/>
          <w:lang w:val="de-DE"/>
        </w:rPr>
        <w:t xml:space="preserve"> ha/41.587 ha kế hoạch, đạt 75,10%, trong đó niên vụ cà phê 2018-2019 thực hiện 4.324 ha/6.953 ha kế hoạch đạt 62,18%. </w:t>
      </w:r>
      <w:r w:rsidRPr="00C859C1">
        <w:rPr>
          <w:spacing w:val="-2"/>
          <w:sz w:val="28"/>
          <w:szCs w:val="28"/>
          <w:lang w:val="de-DE"/>
        </w:rPr>
        <w:t xml:space="preserve"> </w:t>
      </w:r>
      <w:r w:rsidRPr="00FA74D1">
        <w:rPr>
          <w:color w:val="000000"/>
          <w:sz w:val="28"/>
          <w:szCs w:val="28"/>
          <w:lang w:val="de-DE"/>
        </w:rPr>
        <w:t xml:space="preserve"> </w:t>
      </w:r>
    </w:p>
    <w:p w:rsidR="000A4C29" w:rsidRDefault="000A4C29" w:rsidP="00C859C1">
      <w:pPr>
        <w:pStyle w:val="BodyText"/>
        <w:spacing w:before="120" w:after="120"/>
        <w:ind w:firstLine="607"/>
        <w:rPr>
          <w:spacing w:val="-2"/>
          <w:sz w:val="28"/>
          <w:szCs w:val="28"/>
          <w:lang w:val="de-DE"/>
        </w:rPr>
      </w:pPr>
      <w:r w:rsidRPr="00FA74D1">
        <w:rPr>
          <w:sz w:val="28"/>
          <w:szCs w:val="28"/>
          <w:lang w:val="de-DE"/>
        </w:rPr>
        <w:t>Nhìn chung, diện tích cà phê tái canh được quản lý tốt về giống và kỹ thuật nên</w:t>
      </w:r>
      <w:r w:rsidRPr="00AF4175">
        <w:rPr>
          <w:spacing w:val="-2"/>
          <w:sz w:val="28"/>
          <w:szCs w:val="28"/>
          <w:lang w:val="de-DE"/>
        </w:rPr>
        <w:t xml:space="preserve"> năng suất bình quân đạt 27,84 tạ/ha, tăng khoảng 2,</w:t>
      </w:r>
      <w:r>
        <w:rPr>
          <w:spacing w:val="-2"/>
          <w:sz w:val="28"/>
          <w:szCs w:val="28"/>
          <w:lang w:val="de-DE"/>
        </w:rPr>
        <w:t>4</w:t>
      </w:r>
      <w:r w:rsidRPr="00AF4175">
        <w:rPr>
          <w:spacing w:val="-2"/>
          <w:sz w:val="28"/>
          <w:szCs w:val="28"/>
          <w:lang w:val="de-DE"/>
        </w:rPr>
        <w:t xml:space="preserve"> tạ/ha so với năng suất cà phê hiện có</w:t>
      </w:r>
      <w:r>
        <w:rPr>
          <w:spacing w:val="-2"/>
          <w:sz w:val="28"/>
          <w:szCs w:val="28"/>
          <w:lang w:val="de-DE"/>
        </w:rPr>
        <w:t xml:space="preserve"> trên địa bàn tỉnh.</w:t>
      </w:r>
    </w:p>
    <w:p w:rsidR="000A4C29" w:rsidRPr="00FA74D1" w:rsidRDefault="000A4C29" w:rsidP="00E3791F">
      <w:pPr>
        <w:spacing w:before="120" w:after="120"/>
        <w:ind w:firstLine="646"/>
        <w:jc w:val="both"/>
        <w:rPr>
          <w:sz w:val="28"/>
          <w:szCs w:val="28"/>
          <w:lang w:val="de-DE"/>
        </w:rPr>
      </w:pPr>
      <w:r w:rsidRPr="00FA74D1">
        <w:rPr>
          <w:sz w:val="28"/>
          <w:szCs w:val="28"/>
          <w:lang w:val="de-DE"/>
        </w:rPr>
        <w:t>Tuy nhiên, qua kết quả thực hiện tái canh cà phê, cho thấy diện tích tái canh cà phê không đạt so với kế hoạch của tỉnh, do các nguyên nhân sau: phần lớn diện tích cà phê cần tái canh là của nông hộ, vườn cây là nguồn thu nhập chính do đó việc tái canh một lần sẽ ảnh hưởng đến nguồn thu nhập và đời sống của các hộ gia đình trong thời gian dài. Chính vì thế các hộ dân chưa mạnh dạn trong việc thực hiện tái canh cà phê. Bên cạnh đó, với giá cả của một số loại cây ăn quả tăng cao như bơ, sầu riêng thì người dân cũng không mặn mà thực hiện tái canh trên diện tích cà phê bị nhổ bỏ, mà se chuyển sang trồng các loại cây trồng khác như sầu riêng, bơ và một số loại cây ăn quả có giá trị kinh tế cao hơn. Mặt khác giá cả thị trường cà phê không ổn định cũng là nguyên nhân làm cho diện tích tái canh cà phê giảm.</w:t>
      </w:r>
    </w:p>
    <w:p w:rsidR="000A4C29" w:rsidRDefault="000A4C29" w:rsidP="00AF4175">
      <w:pPr>
        <w:pStyle w:val="BodyText"/>
        <w:spacing w:before="120" w:after="120"/>
        <w:ind w:firstLine="720"/>
        <w:rPr>
          <w:spacing w:val="-2"/>
          <w:sz w:val="28"/>
          <w:szCs w:val="28"/>
          <w:lang w:val="de-DE"/>
        </w:rPr>
      </w:pPr>
      <w:r w:rsidRPr="00FA74D1">
        <w:rPr>
          <w:i/>
          <w:iCs/>
          <w:sz w:val="28"/>
          <w:szCs w:val="28"/>
          <w:lang w:val="de-DE"/>
        </w:rPr>
        <w:t xml:space="preserve">Công tác hỗ trợ giống tái canh: </w:t>
      </w:r>
      <w:r w:rsidRPr="00FA74D1">
        <w:rPr>
          <w:sz w:val="28"/>
          <w:szCs w:val="28"/>
          <w:lang w:val="de-DE"/>
        </w:rPr>
        <w:t xml:space="preserve">đồng hành cùng với Chương trình tái canh cà phê của tỉnh, </w:t>
      </w:r>
      <w:r w:rsidRPr="00AF4175">
        <w:rPr>
          <w:color w:val="1D1B11"/>
          <w:sz w:val="28"/>
          <w:szCs w:val="28"/>
          <w:lang w:val="de-DE"/>
        </w:rPr>
        <w:t xml:space="preserve">Thông qua Chương trình Hợp tác Công tư (PPP), niên vụ </w:t>
      </w:r>
      <w:r w:rsidRPr="00AF4175">
        <w:rPr>
          <w:color w:val="1D1B11"/>
          <w:sz w:val="28"/>
          <w:szCs w:val="28"/>
          <w:lang w:val="de-DE"/>
        </w:rPr>
        <w:lastRenderedPageBreak/>
        <w:t xml:space="preserve">cà phê năm 2018-2019 Công ty TNHH Nestlé Việt Nam đã hỗ trợ cho bà con nông dân </w:t>
      </w:r>
      <w:r w:rsidRPr="00AF4175">
        <w:rPr>
          <w:spacing w:val="-2"/>
          <w:sz w:val="28"/>
          <w:szCs w:val="28"/>
          <w:lang w:val="de-DE"/>
        </w:rPr>
        <w:t xml:space="preserve">khoảng 3.000.000 cây giống với 4.271 nông dân đăng ký nhận cây. </w:t>
      </w:r>
    </w:p>
    <w:p w:rsidR="000A4C29" w:rsidRPr="00FA74D1" w:rsidRDefault="000A4C29" w:rsidP="00725C81">
      <w:pPr>
        <w:pStyle w:val="BodyText"/>
        <w:spacing w:before="120" w:after="120"/>
        <w:ind w:firstLine="646"/>
        <w:rPr>
          <w:i/>
          <w:iCs/>
          <w:sz w:val="28"/>
          <w:szCs w:val="28"/>
          <w:lang w:val="de-DE"/>
        </w:rPr>
      </w:pPr>
      <w:r w:rsidRPr="00FA74D1">
        <w:rPr>
          <w:i/>
          <w:iCs/>
          <w:sz w:val="28"/>
          <w:szCs w:val="28"/>
          <w:lang w:val="de-DE"/>
        </w:rPr>
        <w:t>Về s</w:t>
      </w:r>
      <w:r w:rsidRPr="0018677C">
        <w:rPr>
          <w:i/>
          <w:iCs/>
          <w:sz w:val="28"/>
          <w:szCs w:val="28"/>
          <w:lang w:val="vi-VN"/>
        </w:rPr>
        <w:t>ản xuất cà phê bền vững có chứng nhận</w:t>
      </w:r>
    </w:p>
    <w:p w:rsidR="000A4C29" w:rsidRPr="00FA74D1" w:rsidRDefault="000A4C29" w:rsidP="002068CF">
      <w:pPr>
        <w:spacing w:before="120" w:after="120"/>
        <w:ind w:firstLine="720"/>
        <w:jc w:val="both"/>
        <w:rPr>
          <w:sz w:val="28"/>
          <w:szCs w:val="28"/>
          <w:lang w:val="de-DE"/>
        </w:rPr>
      </w:pPr>
      <w:r w:rsidRPr="00FA74D1">
        <w:rPr>
          <w:sz w:val="28"/>
          <w:szCs w:val="28"/>
          <w:lang w:val="de-DE"/>
        </w:rPr>
        <w:t>Trên địa bàn tỉnh Đắk Lắk hiện có 04 loại hình cà phê chứng nhận phổ biến gồm: 4C (bộ nguyên tắc chung cho cộng đồng cà phê), UTZ Certifed, RFA (Rừng nhiệt đới) và FLO (Thương mại công bằng), cụ thể như sau:</w:t>
      </w:r>
    </w:p>
    <w:p w:rsidR="000A4C29" w:rsidRPr="00FA74D1" w:rsidRDefault="000A4C29" w:rsidP="00725C81">
      <w:pPr>
        <w:spacing w:before="120" w:after="120"/>
        <w:ind w:firstLine="646"/>
        <w:jc w:val="both"/>
        <w:rPr>
          <w:sz w:val="28"/>
          <w:szCs w:val="28"/>
          <w:lang w:val="de-DE"/>
        </w:rPr>
      </w:pPr>
      <w:r w:rsidRPr="00FA74D1">
        <w:rPr>
          <w:i/>
          <w:iCs/>
          <w:sz w:val="28"/>
          <w:szCs w:val="28"/>
          <w:lang w:val="de-DE"/>
        </w:rPr>
        <w:t>Chứng nhận UTZ</w:t>
      </w:r>
      <w:r w:rsidRPr="00FA74D1">
        <w:rPr>
          <w:sz w:val="28"/>
          <w:szCs w:val="28"/>
          <w:lang w:val="de-DE"/>
        </w:rPr>
        <w:t xml:space="preserve">: Theo báo cáo của tổ chức chứng nhận UTZ, tính đến ngày 30/6/2019 trên địa bàn tỉnh Đắk Lắk có 30 đơn vị chứng nhận cà phê theo tiêu chuẩn UTZ (tăng 01 đơn vị so với năm 2018), trong đó có 9 đơn vị được chứng nhận nhà máy chế biến xuất khẩu (không tăng giảm so với năm 2018); 04 đơn vị được chứng nhận nhà máy rang xay và 17 đơn vị tham gia sản xuất cà phê có chứng nhận UTZ với tổng số 11.296 nông hộ (giảm 376 nông hộ so với 2018), tổng diện tích 13.713,24 ha (giảm 2.281,54 ha so với năm 2018) và tổng sản lượng 49.979,63 tấn (giảm 7.934,72 tấn so với năm 2018). </w:t>
      </w:r>
    </w:p>
    <w:p w:rsidR="000A4C29" w:rsidRPr="00FA74D1" w:rsidRDefault="000A4C29" w:rsidP="00725C81">
      <w:pPr>
        <w:spacing w:before="120" w:after="120"/>
        <w:ind w:firstLine="646"/>
        <w:jc w:val="both"/>
        <w:rPr>
          <w:sz w:val="28"/>
          <w:szCs w:val="28"/>
          <w:lang w:val="de-DE"/>
        </w:rPr>
      </w:pPr>
      <w:r w:rsidRPr="00FA74D1">
        <w:rPr>
          <w:i/>
          <w:iCs/>
          <w:sz w:val="28"/>
          <w:szCs w:val="28"/>
          <w:lang w:val="de-DE"/>
        </w:rPr>
        <w:t>Chứng nhận 4C</w:t>
      </w:r>
      <w:r w:rsidRPr="00FA74D1">
        <w:rPr>
          <w:sz w:val="28"/>
          <w:szCs w:val="28"/>
          <w:lang w:val="de-DE"/>
        </w:rPr>
        <w:t xml:space="preserve">: hiện nay trên địa bàn tỉnh có 11 đơn vị được sản xuất cà phê theo tiêu chuẩn 4C với tổng diện tích là 26.091 ha, sản lượng 94.357 tấn với 18.450 nông hộ tham gia; </w:t>
      </w:r>
    </w:p>
    <w:p w:rsidR="000A4C29" w:rsidRPr="00FA74D1" w:rsidRDefault="000A4C29" w:rsidP="00725C81">
      <w:pPr>
        <w:spacing w:before="120" w:after="120"/>
        <w:ind w:firstLine="646"/>
        <w:jc w:val="both"/>
        <w:rPr>
          <w:sz w:val="28"/>
          <w:szCs w:val="28"/>
          <w:lang w:val="de-DE"/>
        </w:rPr>
      </w:pPr>
      <w:r w:rsidRPr="00FA74D1">
        <w:rPr>
          <w:i/>
          <w:iCs/>
          <w:sz w:val="28"/>
          <w:szCs w:val="28"/>
          <w:lang w:val="de-DE"/>
        </w:rPr>
        <w:t xml:space="preserve">Chứng nhận RFA: </w:t>
      </w:r>
      <w:r w:rsidRPr="00FA74D1">
        <w:rPr>
          <w:sz w:val="28"/>
          <w:szCs w:val="28"/>
          <w:lang w:val="de-DE"/>
        </w:rPr>
        <w:t>Trong 12 đơn vị được cấp quyền sử dụng Chỉ dẫn địa lý cà phê Buôn Ma Thuột, có 3 đơn vị sản xuất cà phê có chứng nhận RFA với diện tích 5.123 ha và 2.771 nông hộ tham gia với tổng sản lượng đăng ký 12.719 tấn và tổng sản lượng thương mại 2.000 tấn (chiếm tỷ lệ 15,72% so với sản lượng đăng ký) với giá tăng thêm khoảng 300 -  400 đ/kg so với giá thị trường.</w:t>
      </w:r>
    </w:p>
    <w:p w:rsidR="000A4C29" w:rsidRPr="00FA74D1" w:rsidRDefault="000A4C29" w:rsidP="00725C81">
      <w:pPr>
        <w:spacing w:before="120" w:after="120"/>
        <w:ind w:firstLine="646"/>
        <w:jc w:val="both"/>
        <w:rPr>
          <w:sz w:val="28"/>
          <w:szCs w:val="28"/>
          <w:lang w:val="de-DE"/>
        </w:rPr>
      </w:pPr>
      <w:r w:rsidRPr="00FA74D1">
        <w:rPr>
          <w:i/>
          <w:iCs/>
          <w:sz w:val="28"/>
          <w:szCs w:val="28"/>
          <w:lang w:val="de-DE"/>
        </w:rPr>
        <w:t>Chứng nhận Fairtrade:</w:t>
      </w:r>
      <w:r w:rsidRPr="00FA74D1">
        <w:rPr>
          <w:sz w:val="28"/>
          <w:szCs w:val="28"/>
          <w:lang w:val="de-DE"/>
        </w:rPr>
        <w:t xml:space="preserve"> Hiện nay trên địa bàn tỉnh Đắk Lắk có 6 Hợp tác xã sản xuất cà phê chứng nhận FLO với tổng diện tích 747,2 ha; 447 nông hộ tham gia với tổng sản lượng đăng ký 3.255,9 tấn và tổng sản lượng thương mại là 2.249 tấn (chiếm tỷ lệ 69,07% so với tổng sản lượng đăng ký) với giá tăng thêm từ 9.000 – 12.000 đ/kg so với giá thị trường, phần chênh lệch này dành cho phúc lợi xã hội.</w:t>
      </w:r>
    </w:p>
    <w:p w:rsidR="000A4C29" w:rsidRPr="00FA74D1" w:rsidRDefault="000A4C29" w:rsidP="00725C81">
      <w:pPr>
        <w:spacing w:before="120" w:after="120"/>
        <w:ind w:firstLine="646"/>
        <w:jc w:val="both"/>
        <w:rPr>
          <w:sz w:val="28"/>
          <w:szCs w:val="28"/>
          <w:lang w:val="de-DE"/>
        </w:rPr>
      </w:pPr>
      <w:r w:rsidRPr="00FA74D1">
        <w:rPr>
          <w:sz w:val="28"/>
          <w:szCs w:val="28"/>
          <w:lang w:val="de-DE"/>
        </w:rPr>
        <w:t xml:space="preserve">Như vậy đến nay tổng </w:t>
      </w:r>
      <w:r w:rsidRPr="00C94BE0">
        <w:rPr>
          <w:sz w:val="28"/>
          <w:szCs w:val="28"/>
          <w:lang w:val="pt-BR"/>
        </w:rPr>
        <w:t>diện tích cà phê được áp dụng quy trình sản xuất cà phê bền vững có chứng nhận</w:t>
      </w:r>
      <w:r>
        <w:rPr>
          <w:sz w:val="28"/>
          <w:szCs w:val="28"/>
          <w:lang w:val="pt-BR"/>
        </w:rPr>
        <w:t xml:space="preserve"> là 45.674,44 ha, chiếm khoảng 22,49% diện tích cà phê toàn tỉnh. </w:t>
      </w:r>
    </w:p>
    <w:p w:rsidR="000A4C29" w:rsidRPr="00AF4175" w:rsidRDefault="000A4C29" w:rsidP="00AF4175">
      <w:pPr>
        <w:shd w:val="clear" w:color="auto" w:fill="FFFFFF"/>
        <w:spacing w:before="120" w:after="120"/>
        <w:ind w:firstLine="720"/>
        <w:jc w:val="both"/>
        <w:rPr>
          <w:i/>
          <w:iCs/>
          <w:sz w:val="28"/>
          <w:szCs w:val="28"/>
        </w:rPr>
      </w:pPr>
      <w:r w:rsidRPr="00AF4175">
        <w:rPr>
          <w:i/>
          <w:iCs/>
          <w:sz w:val="28"/>
          <w:szCs w:val="28"/>
        </w:rPr>
        <w:t>M</w:t>
      </w:r>
      <w:r w:rsidRPr="00AF4175">
        <w:rPr>
          <w:i/>
          <w:iCs/>
          <w:sz w:val="28"/>
          <w:szCs w:val="28"/>
          <w:lang w:val="vi-VN"/>
        </w:rPr>
        <w:t xml:space="preserve">ô hình trồng xen </w:t>
      </w:r>
      <w:r w:rsidRPr="00AF4175">
        <w:rPr>
          <w:i/>
          <w:iCs/>
          <w:sz w:val="28"/>
          <w:szCs w:val="28"/>
        </w:rPr>
        <w:t>trong vườn cà phê</w:t>
      </w:r>
    </w:p>
    <w:p w:rsidR="000A4C29" w:rsidRPr="00FA74D1" w:rsidRDefault="000A4C29" w:rsidP="00AF4175">
      <w:pPr>
        <w:pStyle w:val="BodyText"/>
        <w:spacing w:before="120" w:after="120"/>
        <w:ind w:firstLine="720"/>
        <w:rPr>
          <w:sz w:val="28"/>
          <w:szCs w:val="28"/>
          <w:lang w:val="vi-VN"/>
        </w:rPr>
      </w:pPr>
      <w:r w:rsidRPr="00AF4175">
        <w:rPr>
          <w:sz w:val="28"/>
          <w:szCs w:val="28"/>
          <w:lang w:val="vi-VN"/>
        </w:rPr>
        <w:t>Bên cạnh đó, các mô hình trồng xen cây ăn quả</w:t>
      </w:r>
      <w:r w:rsidRPr="00AF4175">
        <w:rPr>
          <w:sz w:val="28"/>
          <w:szCs w:val="28"/>
        </w:rPr>
        <w:t xml:space="preserve"> (sầu riêng, bơ)</w:t>
      </w:r>
      <w:r w:rsidRPr="00AF4175">
        <w:rPr>
          <w:sz w:val="28"/>
          <w:szCs w:val="28"/>
          <w:lang w:val="vi-VN"/>
        </w:rPr>
        <w:t>, hồ tiêu</w:t>
      </w:r>
      <w:r w:rsidRPr="00AF4175">
        <w:rPr>
          <w:sz w:val="28"/>
          <w:szCs w:val="28"/>
        </w:rPr>
        <w:t>, điều</w:t>
      </w:r>
      <w:r w:rsidRPr="00AF4175">
        <w:rPr>
          <w:sz w:val="28"/>
          <w:szCs w:val="28"/>
          <w:lang w:val="vi-VN"/>
        </w:rPr>
        <w:t xml:space="preserve">… trong vườn cà phê tái canh hiện nay đang được các hộ dân áp dụng. </w:t>
      </w:r>
      <w:r w:rsidRPr="00FA74D1">
        <w:rPr>
          <w:sz w:val="28"/>
          <w:szCs w:val="28"/>
          <w:lang w:val="vi-VN"/>
        </w:rPr>
        <w:t>Với diện tích trồng xen trong vườn cà phê là 39.077ha/ 203.063 ha cà phê chiếm 19,24%, trong đó cà phê – hồ tiêu là 19.907 ha chiếm 50,94% diện tích cây trồng xen, cà phê – sầu riêng là 3.273 ha, cà phê – bơ là 8.378 ha, cà phê - điều là 469 ha và xen với loại cây trồng khác là 7.050 ha. Trong điều kiện sản xuất như hiện nay, việc trồng xen trong vườn cà phê đã mang lại hiệu quả kinh tế cao, tăng thu nhập trên một đơn vị diện tích đất canh tác, giúp sản xuất mang tính bền vững.</w:t>
      </w:r>
    </w:p>
    <w:p w:rsidR="000A4C29" w:rsidRPr="00FA74D1" w:rsidRDefault="000A4C29" w:rsidP="00AF4175">
      <w:pPr>
        <w:pStyle w:val="BodyText"/>
        <w:ind w:firstLine="720"/>
        <w:rPr>
          <w:i/>
          <w:iCs/>
          <w:color w:val="000000"/>
          <w:sz w:val="28"/>
          <w:szCs w:val="28"/>
          <w:lang w:val="vi-VN"/>
        </w:rPr>
      </w:pPr>
      <w:r w:rsidRPr="00FA74D1">
        <w:rPr>
          <w:i/>
          <w:iCs/>
          <w:color w:val="000000"/>
          <w:sz w:val="28"/>
          <w:szCs w:val="28"/>
          <w:lang w:val="vi-VN"/>
        </w:rPr>
        <w:lastRenderedPageBreak/>
        <w:t xml:space="preserve">Về hệ thống thủy lợi phục vụ cho cây cà phê </w:t>
      </w:r>
    </w:p>
    <w:p w:rsidR="000A4C29" w:rsidRDefault="000A4C29" w:rsidP="00AF4175">
      <w:pPr>
        <w:spacing w:before="40" w:after="40"/>
        <w:ind w:firstLine="646"/>
        <w:jc w:val="both"/>
        <w:rPr>
          <w:sz w:val="28"/>
          <w:szCs w:val="28"/>
          <w:lang w:val="nl-NL"/>
        </w:rPr>
      </w:pPr>
      <w:r w:rsidRPr="00E14C4B">
        <w:rPr>
          <w:sz w:val="28"/>
          <w:szCs w:val="28"/>
          <w:lang w:val="de-DE"/>
        </w:rPr>
        <w:t xml:space="preserve">Cây cà phê có nhu cầu tưới rất lớn để đảm bảo thâm canh và sản xuất bền vững. </w:t>
      </w:r>
      <w:r>
        <w:rPr>
          <w:sz w:val="28"/>
          <w:szCs w:val="28"/>
          <w:lang w:val="de-DE"/>
        </w:rPr>
        <w:t>H</w:t>
      </w:r>
      <w:r w:rsidRPr="00E14C4B">
        <w:rPr>
          <w:sz w:val="28"/>
          <w:szCs w:val="28"/>
          <w:lang w:val="pt-BR"/>
        </w:rPr>
        <w:t>iện nay trên địa bàn tỉnh có</w:t>
      </w:r>
      <w:r w:rsidRPr="00E14C4B">
        <w:rPr>
          <w:sz w:val="28"/>
          <w:szCs w:val="28"/>
          <w:lang w:val="nl-NL"/>
        </w:rPr>
        <w:t xml:space="preserve"> </w:t>
      </w:r>
      <w:r>
        <w:rPr>
          <w:sz w:val="28"/>
          <w:szCs w:val="28"/>
          <w:lang w:val="nl-NL"/>
        </w:rPr>
        <w:t>782</w:t>
      </w:r>
      <w:r w:rsidRPr="00E14C4B">
        <w:rPr>
          <w:sz w:val="28"/>
          <w:szCs w:val="28"/>
          <w:lang w:val="nl-NL"/>
        </w:rPr>
        <w:t xml:space="preserve"> công trình thủy lợi (gồm 60</w:t>
      </w:r>
      <w:r>
        <w:rPr>
          <w:sz w:val="28"/>
          <w:szCs w:val="28"/>
          <w:lang w:val="nl-NL"/>
        </w:rPr>
        <w:t>7</w:t>
      </w:r>
      <w:r w:rsidRPr="00E14C4B">
        <w:rPr>
          <w:sz w:val="28"/>
          <w:szCs w:val="28"/>
          <w:lang w:val="nl-NL"/>
        </w:rPr>
        <w:t xml:space="preserve"> hồ chứa, 11</w:t>
      </w:r>
      <w:r>
        <w:rPr>
          <w:sz w:val="28"/>
          <w:szCs w:val="28"/>
          <w:lang w:val="nl-NL"/>
        </w:rPr>
        <w:t>8</w:t>
      </w:r>
      <w:r w:rsidRPr="00E14C4B">
        <w:rPr>
          <w:sz w:val="28"/>
          <w:szCs w:val="28"/>
          <w:lang w:val="nl-NL"/>
        </w:rPr>
        <w:t xml:space="preserve"> đập dâng, 57 trạm bơm); Tổng chiều dài kênh mương 2.031,71 km, đã kiên cố hóa được 1.2</w:t>
      </w:r>
      <w:r>
        <w:rPr>
          <w:sz w:val="28"/>
          <w:szCs w:val="28"/>
          <w:lang w:val="nl-NL"/>
        </w:rPr>
        <w:t>28,83</w:t>
      </w:r>
      <w:r w:rsidRPr="00E14C4B">
        <w:rPr>
          <w:sz w:val="28"/>
          <w:szCs w:val="28"/>
          <w:lang w:val="nl-NL"/>
        </w:rPr>
        <w:t xml:space="preserve"> km kênh mương các loại. </w:t>
      </w:r>
    </w:p>
    <w:p w:rsidR="000A4C29" w:rsidRDefault="000A4C29" w:rsidP="00382B3A">
      <w:pPr>
        <w:pStyle w:val="BodyText"/>
        <w:ind w:firstLine="720"/>
        <w:rPr>
          <w:sz w:val="28"/>
          <w:szCs w:val="28"/>
          <w:lang w:val="sv-SE"/>
        </w:rPr>
      </w:pPr>
      <w:r>
        <w:rPr>
          <w:sz w:val="28"/>
          <w:szCs w:val="28"/>
          <w:lang w:val="nl-NL"/>
        </w:rPr>
        <w:t xml:space="preserve">Diện tích cà phê hiện có của tỉnh là 203.063 ha, trong đó diện tích tưới được hỗ trợ tiền, dịch vụ sử dụng giá sản phẩm công ích thủy lợi năm 2019 được tưới từ công trình thủy lợi 36.722 ha; diện tích được tưới từ các hồ chứa của các công ty cà phê, công an, bộ đội, sông suối, ao hồ do tạo nguồn và nước ngầm là 166.341 ha. </w:t>
      </w:r>
      <w:r w:rsidRPr="0021765D">
        <w:rPr>
          <w:sz w:val="28"/>
          <w:szCs w:val="28"/>
          <w:lang w:val="nl-NL"/>
        </w:rPr>
        <w:t xml:space="preserve">Ngoài ra </w:t>
      </w:r>
      <w:r>
        <w:rPr>
          <w:sz w:val="28"/>
          <w:szCs w:val="28"/>
          <w:lang w:val="nl-NL"/>
        </w:rPr>
        <w:t xml:space="preserve">toàn tỉnh </w:t>
      </w:r>
      <w:r w:rsidRPr="0021765D">
        <w:rPr>
          <w:sz w:val="28"/>
          <w:szCs w:val="28"/>
          <w:lang w:val="nl-NL"/>
        </w:rPr>
        <w:t xml:space="preserve">có 70,8 ha diện tích cà phê được </w:t>
      </w:r>
      <w:r w:rsidRPr="0021765D">
        <w:rPr>
          <w:sz w:val="28"/>
          <w:szCs w:val="28"/>
          <w:lang w:val="sv-SE"/>
        </w:rPr>
        <w:t>áp dụng công nghê tưới tiên tiến, tiết kiệm nước.</w:t>
      </w:r>
      <w:r>
        <w:rPr>
          <w:sz w:val="28"/>
          <w:szCs w:val="28"/>
          <w:lang w:val="sv-SE"/>
        </w:rPr>
        <w:t xml:space="preserve"> </w:t>
      </w:r>
    </w:p>
    <w:p w:rsidR="000A4C29" w:rsidRPr="00FA74D1" w:rsidRDefault="000A4C29" w:rsidP="00AF4175">
      <w:pPr>
        <w:pStyle w:val="BodyText"/>
        <w:ind w:firstLine="720"/>
        <w:rPr>
          <w:sz w:val="28"/>
          <w:szCs w:val="28"/>
          <w:lang w:val="de-DE"/>
        </w:rPr>
      </w:pPr>
      <w:r w:rsidRPr="00A83DDF">
        <w:rPr>
          <w:sz w:val="28"/>
          <w:szCs w:val="28"/>
          <w:lang w:val="de-DE"/>
        </w:rPr>
        <w:t xml:space="preserve">Việc không chủ động nguồn nước tưới cho cà phê đã làm cho sản xuất cà phê thiếu tính bền vững, đặc biệt là trong bối cảnh biến đổi khí hậu đã và đang xảy ra làm gia tăng tình trạng suy thoái nguồn nước, dẫn đến nguy cơ thiếu nước tưới cho nông nghiệp, đặc biệt là cây cà phê. Để góp phần đảm bảo cho sản xuất cà phê Đăk Lăk mang tính bền vững thì việc đầu tư xây dựng hệ thống các công trình thủy lợi phục vụ tưới cho cà phê trong thời gian tới hết sức cấp thiết. </w:t>
      </w:r>
    </w:p>
    <w:p w:rsidR="000A4C29" w:rsidRPr="00FA74D1" w:rsidRDefault="000A4C29" w:rsidP="0098547F">
      <w:pPr>
        <w:pStyle w:val="BodyText"/>
        <w:spacing w:before="120" w:after="120"/>
        <w:rPr>
          <w:b/>
          <w:bCs/>
          <w:sz w:val="28"/>
          <w:szCs w:val="28"/>
          <w:lang w:val="de-DE"/>
        </w:rPr>
      </w:pPr>
      <w:r w:rsidRPr="00FA74D1">
        <w:rPr>
          <w:b/>
          <w:bCs/>
          <w:sz w:val="28"/>
          <w:szCs w:val="28"/>
          <w:lang w:val="de-DE"/>
        </w:rPr>
        <w:tab/>
        <w:t>2. Tình hình chế biến:</w:t>
      </w:r>
    </w:p>
    <w:p w:rsidR="000A4C29" w:rsidRPr="00042815" w:rsidRDefault="000A4C29" w:rsidP="00B17EBA">
      <w:pPr>
        <w:pStyle w:val="BodyText"/>
        <w:spacing w:before="120" w:after="120"/>
        <w:ind w:firstLine="720"/>
        <w:rPr>
          <w:spacing w:val="-2"/>
          <w:sz w:val="28"/>
          <w:szCs w:val="28"/>
          <w:lang w:val="de-DE"/>
        </w:rPr>
      </w:pPr>
      <w:r w:rsidRPr="00042815">
        <w:rPr>
          <w:spacing w:val="-2"/>
          <w:sz w:val="28"/>
          <w:szCs w:val="28"/>
          <w:lang w:val="de-DE"/>
        </w:rPr>
        <w:t>Đắk Lắk hiện có 295</w:t>
      </w:r>
      <w:r w:rsidRPr="00FA74D1">
        <w:rPr>
          <w:sz w:val="28"/>
          <w:szCs w:val="28"/>
          <w:lang w:val="de-DE"/>
        </w:rPr>
        <w:t xml:space="preserve"> cơ sở chế biến cà phê, </w:t>
      </w:r>
      <w:r w:rsidRPr="00042815">
        <w:rPr>
          <w:color w:val="1D1B11"/>
          <w:sz w:val="28"/>
          <w:szCs w:val="28"/>
          <w:lang w:val="de-DE"/>
        </w:rPr>
        <w:t>giảm 04 cơ cơ sở so niên vụ cà phê 2017-2018</w:t>
      </w:r>
      <w:r w:rsidRPr="00FA74D1">
        <w:rPr>
          <w:sz w:val="28"/>
          <w:szCs w:val="28"/>
          <w:lang w:val="de-DE"/>
        </w:rPr>
        <w:t xml:space="preserve">, trong đó 95 cơ sở chế biến cà phê nhân, 200 cơ sở chế biến cà phê bột (03 Doanh nghiệp FDI: Công ty TNHH Đak Man, Công ty TNHH Olam tại Đắk Lắk và Công ty TNHH cà phê Hà Lan Việt Nam), 02 cơ sở chế biến cà phê hòa tan (Công ty TNHH Cà phê Ngon và Công ty Cổ phần đầu tư &amp; Phát triển An Thái) với số lượng cà phê chế biến </w:t>
      </w:r>
      <w:r w:rsidRPr="00042815">
        <w:rPr>
          <w:spacing w:val="-2"/>
          <w:sz w:val="28"/>
          <w:szCs w:val="28"/>
          <w:lang w:val="de-DE"/>
        </w:rPr>
        <w:t>0</w:t>
      </w:r>
      <w:r>
        <w:rPr>
          <w:spacing w:val="-2"/>
          <w:sz w:val="28"/>
          <w:szCs w:val="28"/>
          <w:lang w:val="de-DE"/>
        </w:rPr>
        <w:t>9</w:t>
      </w:r>
      <w:r w:rsidRPr="00042815">
        <w:rPr>
          <w:spacing w:val="-2"/>
          <w:sz w:val="28"/>
          <w:szCs w:val="28"/>
          <w:lang w:val="de-DE"/>
        </w:rPr>
        <w:t xml:space="preserve"> tháng đầu năm 2019 (cả chế biến cà phê nhân, cà phê bột và cà phê hòa tan) đạt </w:t>
      </w:r>
      <w:r>
        <w:rPr>
          <w:spacing w:val="-2"/>
          <w:sz w:val="28"/>
          <w:szCs w:val="28"/>
          <w:lang w:val="de-DE"/>
        </w:rPr>
        <w:t>331.360,</w:t>
      </w:r>
      <w:r w:rsidRPr="00042815">
        <w:rPr>
          <w:spacing w:val="-2"/>
          <w:sz w:val="28"/>
          <w:szCs w:val="28"/>
          <w:lang w:val="de-DE"/>
        </w:rPr>
        <w:t xml:space="preserve"> cụ thể: </w:t>
      </w:r>
    </w:p>
    <w:p w:rsidR="000A4C29" w:rsidRPr="00FA74D1" w:rsidRDefault="000A4C29" w:rsidP="0053193C">
      <w:pPr>
        <w:spacing w:before="120" w:after="120"/>
        <w:ind w:firstLine="720"/>
        <w:jc w:val="both"/>
        <w:rPr>
          <w:sz w:val="28"/>
          <w:szCs w:val="28"/>
          <w:lang w:val="de-DE"/>
        </w:rPr>
      </w:pPr>
      <w:r w:rsidRPr="00FA74D1">
        <w:rPr>
          <w:sz w:val="28"/>
          <w:szCs w:val="28"/>
          <w:lang w:val="de-DE"/>
        </w:rPr>
        <w:t>+ Cà phê nhân sản lượng đạt 304.000 tấn/ 389.000 tấn kế hoạch, đạt 78,15% so với kế hoạch năm và đạt 104% so với cùng kỳ năm 2018;</w:t>
      </w:r>
    </w:p>
    <w:p w:rsidR="000A4C29" w:rsidRPr="00FA74D1" w:rsidRDefault="000A4C29" w:rsidP="0053193C">
      <w:pPr>
        <w:spacing w:before="120" w:after="120"/>
        <w:ind w:firstLine="720"/>
        <w:jc w:val="both"/>
        <w:rPr>
          <w:sz w:val="28"/>
          <w:szCs w:val="28"/>
          <w:lang w:val="de-DE"/>
        </w:rPr>
      </w:pPr>
      <w:r w:rsidRPr="00FA74D1">
        <w:rPr>
          <w:sz w:val="28"/>
          <w:szCs w:val="28"/>
          <w:lang w:val="de-DE"/>
        </w:rPr>
        <w:t>+ Cà phê bột đạt 23.000 tấn/ 27.500 tấn kế hoạch, đạt 83,64% so với kế hoạch năm và đạt 117% so với cùng kỳ năm 2018.</w:t>
      </w:r>
    </w:p>
    <w:p w:rsidR="000A4C29" w:rsidRPr="00FA74D1" w:rsidRDefault="000A4C29" w:rsidP="0053193C">
      <w:pPr>
        <w:spacing w:before="120" w:after="120"/>
        <w:ind w:firstLine="720"/>
        <w:jc w:val="both"/>
        <w:rPr>
          <w:sz w:val="28"/>
          <w:szCs w:val="28"/>
          <w:lang w:val="de-DE"/>
        </w:rPr>
      </w:pPr>
      <w:r w:rsidRPr="00FA74D1">
        <w:rPr>
          <w:sz w:val="28"/>
          <w:szCs w:val="28"/>
          <w:lang w:val="de-DE"/>
        </w:rPr>
        <w:t xml:space="preserve">+ Cà phê hòa tan </w:t>
      </w:r>
      <w:r w:rsidRPr="00FA74D1">
        <w:rPr>
          <w:rStyle w:val="Strong"/>
          <w:b w:val="0"/>
          <w:bCs w:val="0"/>
          <w:sz w:val="28"/>
          <w:szCs w:val="28"/>
          <w:lang w:val="de-DE"/>
        </w:rPr>
        <w:t>đạt 4.360 tấn/ 6.500 tấn, đạt 67,07% kế hoạch.</w:t>
      </w:r>
    </w:p>
    <w:p w:rsidR="000A4C29" w:rsidRPr="00FA74D1" w:rsidRDefault="000A4C29" w:rsidP="0053193C">
      <w:pPr>
        <w:pStyle w:val="NormalWeb"/>
        <w:spacing w:before="120" w:after="120"/>
        <w:ind w:firstLine="720"/>
        <w:jc w:val="both"/>
        <w:rPr>
          <w:sz w:val="28"/>
          <w:szCs w:val="28"/>
          <w:highlight w:val="yellow"/>
          <w:lang w:val="de-DE"/>
        </w:rPr>
      </w:pPr>
      <w:r w:rsidRPr="00FA74D1">
        <w:rPr>
          <w:rStyle w:val="Strong"/>
          <w:rFonts w:ascii="Times New Roman" w:hAnsi="Times New Roman" w:cs="Times New Roman"/>
          <w:b w:val="0"/>
          <w:bCs w:val="0"/>
          <w:sz w:val="28"/>
          <w:szCs w:val="28"/>
          <w:lang w:val="de-DE"/>
        </w:rPr>
        <w:t xml:space="preserve">Trên địa bàn tỉnh hoạt động chế biến cà phê chủ yếu là chế biến ướt và chế biến khô, </w:t>
      </w:r>
      <w:r w:rsidRPr="0053193C">
        <w:rPr>
          <w:rFonts w:ascii="Times New Roman" w:hAnsi="Times New Roman" w:cs="Times New Roman"/>
          <w:spacing w:val="-4"/>
          <w:sz w:val="28"/>
          <w:szCs w:val="28"/>
          <w:lang w:val="sv-SE"/>
        </w:rPr>
        <w:t>công nghệ chế biến cà phê nhân theo công nghệ khô dùng để chế biến cà phê Robusta (chế biến khô đơn giản, có khả năng tạo ra sản phẩm chất lượng cao),</w:t>
      </w:r>
      <w:r w:rsidRPr="00FA74D1">
        <w:rPr>
          <w:rFonts w:ascii="Times New Roman" w:hAnsi="Times New Roman" w:cs="Times New Roman"/>
          <w:spacing w:val="-4"/>
          <w:sz w:val="28"/>
          <w:szCs w:val="28"/>
          <w:lang w:val="de-DE"/>
        </w:rPr>
        <w:t xml:space="preserve"> công nghệ ướt dùng để chế biến cà phê nhân từ nguyên liệu cà phê tươi (chế biến ướt tạp chất và quả xanh non được loại ngay từ đầu, chất lượng tốt và đồng đều). Tuy nhiên, đa phần các cơ sở chế biến cà phê hiện nay hoạt động với quy mô nhỏ, chế biến khô với trang thiết bị máy móc đơn giản (01 máy rang, 01 máy xay, 01 máy đóng gói), chỉ có một số cơ sở đầu tư với quy mô và công suất lớn, sử dụng máy móc hiện đại như: Công ty Cổ phần cà phê Trung Nguyên, Công ty cổ phần Đầu tư và Phát triển An Thái, Công ty TNHH Mehyco, cơ sở cà phê bột </w:t>
      </w:r>
    </w:p>
    <w:p w:rsidR="000A4C29" w:rsidRPr="00FA74D1" w:rsidRDefault="000A4C29" w:rsidP="00042815">
      <w:pPr>
        <w:pStyle w:val="NormalWeb"/>
        <w:spacing w:before="120" w:after="120"/>
        <w:ind w:firstLine="605"/>
        <w:jc w:val="both"/>
        <w:rPr>
          <w:rFonts w:ascii="Times New Roman" w:hAnsi="Times New Roman" w:cs="Times New Roman"/>
          <w:sz w:val="28"/>
          <w:szCs w:val="28"/>
          <w:lang w:val="de-DE"/>
        </w:rPr>
      </w:pPr>
      <w:r w:rsidRPr="00FA74D1">
        <w:rPr>
          <w:rFonts w:ascii="Times New Roman" w:hAnsi="Times New Roman" w:cs="Times New Roman"/>
          <w:sz w:val="28"/>
          <w:szCs w:val="28"/>
          <w:lang w:val="de-DE"/>
        </w:rPr>
        <w:lastRenderedPageBreak/>
        <w:t>Nhìn chung tình hình chế biến sản phẩm cà phê tương đối ổn định, hiện nay đa phần các cơ sở chế biến cà phê nguyên chất theo hướng hữu cơ, cà phê sạch theo nhu cầu của người tiêu dùng.</w:t>
      </w:r>
      <w:r w:rsidRPr="00042815">
        <w:rPr>
          <w:rFonts w:ascii="Times New Roman" w:hAnsi="Times New Roman" w:cs="Times New Roman"/>
          <w:color w:val="1D1B11"/>
          <w:sz w:val="28"/>
          <w:szCs w:val="28"/>
          <w:lang w:val="de-DE"/>
        </w:rPr>
        <w:t xml:space="preserve"> Tuy nhiên, </w:t>
      </w:r>
      <w:r w:rsidRPr="00FA74D1">
        <w:rPr>
          <w:rFonts w:ascii="Times New Roman" w:hAnsi="Times New Roman" w:cs="Times New Roman"/>
          <w:sz w:val="28"/>
          <w:szCs w:val="28"/>
          <w:lang w:val="de-DE"/>
        </w:rPr>
        <w:t>chế biến cà phê trên địa bàn tỉnh còn nhiều hạn chế và khó khăn nhất định như: cơ sở chế biến quy mô nhỏ, thiết bị và công nghệ của các doanh nghiệp lạc hậu, nguồn nhân lực chưa đáp ứng yêu cầu. Hàng hoá chưa đa dạng, chất lượng chưa được chú trọng và sức cạnh tranh còn hạn chế. Các sản phẩm truyền thống cà phê chưa thực sự ổn định và bền vững. Khi các mặt hàng chủ lực này bị mất giá trên thị trường sẽ ảnh hưởng tới mọi mặt đời sống kinh tế của người dân.</w:t>
      </w:r>
    </w:p>
    <w:p w:rsidR="000A4C29" w:rsidRPr="00D544E5" w:rsidRDefault="000A4C29" w:rsidP="00D544E5">
      <w:pPr>
        <w:pStyle w:val="BodyText"/>
        <w:spacing w:before="120" w:after="120"/>
        <w:ind w:firstLine="605"/>
        <w:rPr>
          <w:b/>
          <w:bCs/>
          <w:color w:val="1D1B11"/>
          <w:sz w:val="28"/>
          <w:szCs w:val="28"/>
          <w:lang w:val="de-DE"/>
        </w:rPr>
      </w:pPr>
      <w:r w:rsidRPr="00D544E5">
        <w:rPr>
          <w:b/>
          <w:bCs/>
          <w:color w:val="1D1B11"/>
          <w:sz w:val="28"/>
          <w:szCs w:val="28"/>
          <w:lang w:val="de-DE"/>
        </w:rPr>
        <w:t xml:space="preserve">3. </w:t>
      </w:r>
      <w:r>
        <w:rPr>
          <w:b/>
          <w:bCs/>
          <w:color w:val="1D1B11"/>
          <w:sz w:val="28"/>
          <w:szCs w:val="28"/>
          <w:lang w:val="de-DE"/>
        </w:rPr>
        <w:t>Tình hình hỗ trợ vốn vay đối với cà phê</w:t>
      </w:r>
    </w:p>
    <w:p w:rsidR="000A4C29" w:rsidRPr="003F46D4" w:rsidRDefault="000A4C29" w:rsidP="00D544E5">
      <w:pPr>
        <w:pStyle w:val="BodyText"/>
        <w:spacing w:before="120" w:after="120"/>
        <w:ind w:firstLine="720"/>
        <w:rPr>
          <w:color w:val="1D1B11"/>
          <w:sz w:val="28"/>
          <w:szCs w:val="28"/>
          <w:lang w:val="de-DE"/>
        </w:rPr>
      </w:pPr>
      <w:r>
        <w:rPr>
          <w:color w:val="1D1B11"/>
          <w:sz w:val="28"/>
          <w:szCs w:val="28"/>
          <w:lang w:val="de-DE"/>
        </w:rPr>
        <w:t xml:space="preserve"> Theo Báo cáo của Ngân hàng Nhà nước Việt Nam Chi nhánh Đắk Lắk,</w:t>
      </w:r>
      <w:r w:rsidRPr="00FA74D1">
        <w:rPr>
          <w:sz w:val="28"/>
          <w:szCs w:val="28"/>
          <w:lang w:val="de-DE"/>
        </w:rPr>
        <w:t xml:space="preserve"> doanh số cho vay cà phê </w:t>
      </w:r>
      <w:r w:rsidRPr="00FA74D1">
        <w:rPr>
          <w:i/>
          <w:iCs/>
          <w:sz w:val="28"/>
          <w:szCs w:val="28"/>
          <w:lang w:val="de-DE"/>
        </w:rPr>
        <w:t>(bao gồm trồng mới, chăm sóc, thu mua)</w:t>
      </w:r>
      <w:r w:rsidRPr="00FA74D1">
        <w:rPr>
          <w:sz w:val="28"/>
          <w:szCs w:val="28"/>
          <w:lang w:val="de-DE"/>
        </w:rPr>
        <w:t xml:space="preserve"> niên vụ 2018 – 2019 bình quân đạt 15.200 tỷ đồng. </w:t>
      </w:r>
    </w:p>
    <w:p w:rsidR="000A4C29" w:rsidRPr="00FA74D1" w:rsidRDefault="000A4C29" w:rsidP="00D544E5">
      <w:pPr>
        <w:pStyle w:val="BodyTextIndent"/>
        <w:tabs>
          <w:tab w:val="right" w:pos="0"/>
        </w:tabs>
        <w:spacing w:before="60" w:after="60"/>
        <w:ind w:firstLine="0"/>
        <w:rPr>
          <w:color w:val="auto"/>
          <w:sz w:val="28"/>
          <w:szCs w:val="28"/>
          <w:lang w:val="de-DE"/>
        </w:rPr>
      </w:pPr>
      <w:r w:rsidRPr="00FA74D1">
        <w:rPr>
          <w:color w:val="auto"/>
          <w:sz w:val="28"/>
          <w:szCs w:val="28"/>
          <w:lang w:val="de-DE"/>
        </w:rPr>
        <w:tab/>
        <w:t>- Dư nợ cho vay cà phê bình quân niên vụ (2018- 2019) đạt 20.300 tỷ đồng, thời điểm cao nhất dư nợ đạt 21.500 tỷ đồng, thời điểm thấp nhất dư nợ đạt 17.300 tỷ đồng. Trong đó, dư nợ bình quân cho vay trồng trọt đạt 15.200 tỷ; thu mua, tiêu thụ đạt 4.400 tỷ đồng; chế biến, bảo quản đạt 700 tỷ đồng. Vào chính vụ (từ tháng 1-4) dư nợ cho vay thu mua cà phê đạt mức cao trên 5.400 tỷ đồng.</w:t>
      </w:r>
    </w:p>
    <w:p w:rsidR="000A4C29" w:rsidRPr="00FA74D1" w:rsidRDefault="000A4C29" w:rsidP="00D544E5">
      <w:pPr>
        <w:pStyle w:val="BodyTextIndent"/>
        <w:tabs>
          <w:tab w:val="right" w:pos="0"/>
        </w:tabs>
        <w:spacing w:before="60" w:after="60"/>
        <w:ind w:firstLine="0"/>
        <w:rPr>
          <w:color w:val="auto"/>
          <w:sz w:val="28"/>
          <w:szCs w:val="28"/>
          <w:lang w:val="de-DE"/>
        </w:rPr>
      </w:pPr>
      <w:r w:rsidRPr="00FA74D1">
        <w:rPr>
          <w:color w:val="auto"/>
          <w:sz w:val="28"/>
          <w:szCs w:val="28"/>
          <w:lang w:val="de-DE"/>
        </w:rPr>
        <w:tab/>
        <w:t>+ Đến tháng 10/2019, dư nợ cho vay cà phê đạt 20.100 tỷ đồng, chiếm 22,85% tổng dư nợ cho vay toàn địa bàn tỉnh, với 124.950 khách hàng còn dư nợ. Trong đó, dư nợ cho vay ngắn hạn đạt 12.050 tỷ đồng (chiếm 59,95% dư nợ cho vay cà phê), cho vay trung hạn đạt 8.050 tỷ đồng (chiếm 40,05% dư nợ cho vay cà phê).</w:t>
      </w:r>
    </w:p>
    <w:p w:rsidR="000A4C29" w:rsidRPr="00FA74D1" w:rsidRDefault="000A4C29" w:rsidP="00D544E5">
      <w:pPr>
        <w:pStyle w:val="BodyTextIndent"/>
        <w:tabs>
          <w:tab w:val="right" w:pos="0"/>
        </w:tabs>
        <w:spacing w:before="60" w:after="60"/>
        <w:ind w:firstLine="0"/>
        <w:rPr>
          <w:color w:val="auto"/>
          <w:sz w:val="28"/>
          <w:szCs w:val="28"/>
          <w:lang w:val="de-DE"/>
        </w:rPr>
      </w:pPr>
      <w:r w:rsidRPr="00FA74D1">
        <w:rPr>
          <w:color w:val="auto"/>
          <w:sz w:val="28"/>
          <w:szCs w:val="28"/>
          <w:lang w:val="de-DE"/>
        </w:rPr>
        <w:tab/>
        <w:t>+ Dư nợ cho vay tái canh cà phê đạt 1.954 tỷ đồng với 7.730 khách hàng còn dư nợ, diện tích tái canh theo hợp đồng là 4.579 ha.</w:t>
      </w:r>
    </w:p>
    <w:p w:rsidR="000A4C29" w:rsidRPr="00FA74D1" w:rsidRDefault="000A4C29" w:rsidP="0098547F">
      <w:pPr>
        <w:spacing w:before="120" w:after="120"/>
        <w:ind w:firstLine="605"/>
        <w:jc w:val="both"/>
        <w:rPr>
          <w:b/>
          <w:bCs/>
          <w:sz w:val="28"/>
          <w:szCs w:val="28"/>
          <w:lang w:val="de-DE"/>
        </w:rPr>
      </w:pPr>
      <w:r w:rsidRPr="00FA74D1">
        <w:rPr>
          <w:b/>
          <w:bCs/>
          <w:sz w:val="28"/>
          <w:szCs w:val="28"/>
          <w:lang w:val="de-DE"/>
        </w:rPr>
        <w:t>II. Tình hình kinh doanh, xuất khẩu cà phê niên vụ 2018-2019:</w:t>
      </w:r>
    </w:p>
    <w:p w:rsidR="000A4C29" w:rsidRPr="00FA74D1" w:rsidRDefault="000A4C29" w:rsidP="00D94329">
      <w:pPr>
        <w:spacing w:before="120" w:after="120"/>
        <w:ind w:firstLine="605"/>
        <w:jc w:val="both"/>
        <w:rPr>
          <w:b/>
          <w:bCs/>
          <w:sz w:val="28"/>
          <w:szCs w:val="28"/>
          <w:lang w:val="de-DE"/>
        </w:rPr>
      </w:pPr>
      <w:r w:rsidRPr="00FA74D1">
        <w:rPr>
          <w:b/>
          <w:bCs/>
          <w:sz w:val="28"/>
          <w:szCs w:val="28"/>
          <w:lang w:val="de-DE"/>
        </w:rPr>
        <w:t>1. Hoạt động xúc tiến thương mại</w:t>
      </w:r>
    </w:p>
    <w:p w:rsidR="000A4C29" w:rsidRPr="00FA74D1" w:rsidRDefault="000A4C29" w:rsidP="00D94329">
      <w:pPr>
        <w:spacing w:before="120" w:after="120"/>
        <w:ind w:firstLine="605"/>
        <w:jc w:val="both"/>
        <w:rPr>
          <w:sz w:val="28"/>
          <w:szCs w:val="28"/>
          <w:lang w:val="de-DE"/>
        </w:rPr>
      </w:pPr>
      <w:r w:rsidRPr="00FA74D1">
        <w:rPr>
          <w:sz w:val="28"/>
          <w:szCs w:val="28"/>
          <w:lang w:val="de-DE"/>
        </w:rPr>
        <w:t>Tổ chức Hội chợ triển lãm chuyên ngành cà phê trong khuôn khổ Lễ hội cà phê Buôn Ma Thuột lần thứ 7 năm 2019 từ ngày 09-13/3/2019. Có 230 đơn vị tham gia hội chợ với 800 gian hàng, trong đó: 54 nhà tài trợ với 300 gian hàng, 51 doanh nghiệp cà phê với 170 gian hàng, 107 doanh nghiệp phụ trợ cà phê với 265 gian hàng, doanh nghiệp nước ngoài với 65 gian hàng. Tổng cộng có khoảng 240.000 lượt khách tham quan, mua sắm tại Hội chợ, bình quân có khoảng 40.000 lượt khách/ngày. Trong quá trình diễn ra hội chợ đã có hàng trăm biên bản ghi nhớ hợp tác được ký kết giữa các doanh nghiệp nhằm làm tiền đề cho các hoạt động sản xuất, phân phối và tiêu thụ trong tương lai.</w:t>
      </w:r>
    </w:p>
    <w:p w:rsidR="000A4C29" w:rsidRPr="00FA74D1" w:rsidRDefault="000A4C29" w:rsidP="00D94329">
      <w:pPr>
        <w:spacing w:before="120" w:after="120"/>
        <w:ind w:firstLine="720"/>
        <w:jc w:val="both"/>
        <w:rPr>
          <w:sz w:val="28"/>
          <w:szCs w:val="28"/>
          <w:lang w:val="de-DE"/>
        </w:rPr>
      </w:pPr>
      <w:r w:rsidRPr="00FA74D1">
        <w:rPr>
          <w:sz w:val="28"/>
          <w:szCs w:val="28"/>
          <w:lang w:val="de-DE"/>
        </w:rPr>
        <w:t>Trong niên vụ cà phê 2018-2019, các hoạt động xúc tiến thương mại đối với ngành hàng cà phê, bao gồm:</w:t>
      </w:r>
    </w:p>
    <w:p w:rsidR="000A4C29" w:rsidRPr="00FA74D1" w:rsidRDefault="000A4C29" w:rsidP="00D94329">
      <w:pPr>
        <w:spacing w:before="120" w:after="120"/>
        <w:ind w:firstLine="720"/>
        <w:jc w:val="both"/>
        <w:rPr>
          <w:sz w:val="28"/>
          <w:szCs w:val="28"/>
          <w:lang w:val="de-DE"/>
        </w:rPr>
      </w:pPr>
      <w:r w:rsidRPr="00FA74D1">
        <w:rPr>
          <w:sz w:val="28"/>
          <w:szCs w:val="28"/>
          <w:lang w:val="de-DE"/>
        </w:rPr>
        <w:t>Hỗ trợ cho 02 doanh nghiệp chế biến cà phê tham gia Hội chợ thực phẩm lên men tại Jeollabuk – Hàn Quốc từ ngày 24-30/10/2018.</w:t>
      </w:r>
    </w:p>
    <w:p w:rsidR="000A4C29" w:rsidRPr="00FA74D1" w:rsidRDefault="000A4C29" w:rsidP="00D94329">
      <w:pPr>
        <w:spacing w:before="120" w:after="120"/>
        <w:ind w:firstLine="720"/>
        <w:jc w:val="both"/>
        <w:rPr>
          <w:sz w:val="28"/>
          <w:szCs w:val="28"/>
          <w:lang w:val="de-DE"/>
        </w:rPr>
      </w:pPr>
      <w:r w:rsidRPr="00FA74D1">
        <w:rPr>
          <w:sz w:val="28"/>
          <w:szCs w:val="28"/>
          <w:lang w:val="de-DE"/>
        </w:rPr>
        <w:lastRenderedPageBreak/>
        <w:t xml:space="preserve">Tham gia đoàn công tác của tỉnh tham dự chương trình “Quảng bá địa phương” tại Nhật Bản từ ngày 03-11/11/2018, trong đó thực hiện việc quảng bá các sản phẩm thế mạnh của địa phương, chủ lực là cà phê Robusta.  </w:t>
      </w:r>
    </w:p>
    <w:p w:rsidR="000A4C29" w:rsidRPr="00FA74D1" w:rsidRDefault="000A4C29" w:rsidP="00D94329">
      <w:pPr>
        <w:spacing w:before="120" w:after="120"/>
        <w:ind w:firstLine="720"/>
        <w:jc w:val="both"/>
        <w:rPr>
          <w:sz w:val="28"/>
          <w:szCs w:val="28"/>
          <w:lang w:val="de-DE"/>
        </w:rPr>
      </w:pPr>
      <w:r w:rsidRPr="00FA74D1">
        <w:rPr>
          <w:sz w:val="28"/>
          <w:szCs w:val="28"/>
          <w:lang w:val="de-DE"/>
        </w:rPr>
        <w:t>Cùng với đó đã tổ chức hỗ trợ cho các doanh nghiệp sản xuất, chế biến cà phê có nhu cầu tham gia các hội chợ triển lãm chuyên ngành, khu vực hay các chương trình kết nối giao thương với các địa phương trong nước để đẩy mạnh tiêu thụ nội địa. Nhiều sản phẩm cà phê chế biến của các doanh nghiệp trong tỉnh đã có mặt ở khắp các tỉnh thành trong cả nước, đặc biệt là sản phẩm cà phê rang xay nguyên chất được nhiều khách hàng ở các địa phương như Hà Nội, TP.Hồ Chí Minh, Đà Nẵng… ưa chuộng.</w:t>
      </w:r>
    </w:p>
    <w:p w:rsidR="000A4C29" w:rsidRPr="00D61A97" w:rsidRDefault="000A4C29" w:rsidP="00D94329">
      <w:pPr>
        <w:spacing w:before="120" w:after="120"/>
        <w:ind w:firstLine="720"/>
        <w:jc w:val="both"/>
        <w:rPr>
          <w:b/>
          <w:bCs/>
          <w:sz w:val="28"/>
          <w:szCs w:val="28"/>
          <w:lang w:val="de-DE"/>
        </w:rPr>
      </w:pPr>
      <w:r>
        <w:rPr>
          <w:b/>
          <w:bCs/>
          <w:sz w:val="28"/>
          <w:szCs w:val="28"/>
          <w:lang w:val="de-DE"/>
        </w:rPr>
        <w:t>2</w:t>
      </w:r>
      <w:r w:rsidRPr="00D61A97">
        <w:rPr>
          <w:b/>
          <w:bCs/>
          <w:sz w:val="28"/>
          <w:szCs w:val="28"/>
          <w:lang w:val="de-DE"/>
        </w:rPr>
        <w:t xml:space="preserve">. </w:t>
      </w:r>
      <w:r>
        <w:rPr>
          <w:b/>
          <w:bCs/>
          <w:sz w:val="28"/>
          <w:szCs w:val="28"/>
          <w:lang w:val="de-DE"/>
        </w:rPr>
        <w:t xml:space="preserve">Hoạt động </w:t>
      </w:r>
      <w:r w:rsidRPr="00D61A97">
        <w:rPr>
          <w:b/>
          <w:bCs/>
          <w:sz w:val="28"/>
          <w:szCs w:val="28"/>
          <w:lang w:val="de-DE"/>
        </w:rPr>
        <w:t xml:space="preserve">kinh doanh, </w:t>
      </w:r>
      <w:r>
        <w:rPr>
          <w:b/>
          <w:bCs/>
          <w:sz w:val="28"/>
          <w:szCs w:val="28"/>
          <w:lang w:val="de-DE"/>
        </w:rPr>
        <w:t>xuất khẩu</w:t>
      </w:r>
    </w:p>
    <w:p w:rsidR="000A4C29" w:rsidRPr="006B5F2B" w:rsidRDefault="000A4C29" w:rsidP="00D94329">
      <w:pPr>
        <w:spacing w:before="120" w:after="120"/>
        <w:ind w:firstLine="720"/>
        <w:jc w:val="both"/>
        <w:rPr>
          <w:b/>
          <w:bCs/>
          <w:sz w:val="28"/>
          <w:szCs w:val="28"/>
          <w:lang w:val="pt-BR"/>
        </w:rPr>
      </w:pPr>
      <w:r>
        <w:rPr>
          <w:b/>
          <w:bCs/>
          <w:sz w:val="28"/>
          <w:szCs w:val="28"/>
          <w:lang w:val="pt-BR"/>
        </w:rPr>
        <w:t>2.1. Giá cà phê</w:t>
      </w:r>
    </w:p>
    <w:p w:rsidR="000A4C29" w:rsidRPr="006B5F2B" w:rsidRDefault="000A4C29" w:rsidP="00D94329">
      <w:pPr>
        <w:spacing w:before="120" w:after="120"/>
        <w:ind w:left="720"/>
        <w:jc w:val="both"/>
        <w:rPr>
          <w:sz w:val="28"/>
          <w:szCs w:val="28"/>
          <w:lang w:val="pt-BR"/>
        </w:rPr>
      </w:pPr>
      <w:r w:rsidRPr="006B5F2B">
        <w:rPr>
          <w:b/>
          <w:bCs/>
          <w:sz w:val="28"/>
          <w:szCs w:val="28"/>
          <w:lang w:val="pt-BR"/>
        </w:rPr>
        <w:t xml:space="preserve">a) Giá </w:t>
      </w:r>
      <w:r>
        <w:rPr>
          <w:b/>
          <w:bCs/>
          <w:sz w:val="28"/>
          <w:szCs w:val="28"/>
          <w:lang w:val="pt-BR"/>
        </w:rPr>
        <w:t>mua cà phê</w:t>
      </w:r>
      <w:r w:rsidRPr="006B5F2B">
        <w:rPr>
          <w:sz w:val="28"/>
          <w:szCs w:val="28"/>
          <w:lang w:val="pt-BR"/>
        </w:rPr>
        <w:t xml:space="preserve"> </w:t>
      </w:r>
    </w:p>
    <w:p w:rsidR="000A4C29" w:rsidRPr="006B5F2B" w:rsidRDefault="000A4C29" w:rsidP="00D94329">
      <w:pPr>
        <w:spacing w:before="120" w:after="120"/>
        <w:ind w:firstLine="720"/>
        <w:jc w:val="both"/>
        <w:rPr>
          <w:sz w:val="28"/>
          <w:szCs w:val="28"/>
          <w:lang w:val="pt-BR"/>
        </w:rPr>
      </w:pPr>
      <w:r w:rsidRPr="006B5F2B">
        <w:rPr>
          <w:sz w:val="28"/>
          <w:szCs w:val="28"/>
          <w:lang w:val="pt-BR"/>
        </w:rPr>
        <w:t>Giá cà phê nhân xô bình quân trên địa bàn tỉnh trong niên vụ 201</w:t>
      </w:r>
      <w:r>
        <w:rPr>
          <w:sz w:val="28"/>
          <w:szCs w:val="28"/>
          <w:lang w:val="pt-BR"/>
        </w:rPr>
        <w:t>8</w:t>
      </w:r>
      <w:r w:rsidRPr="006B5F2B">
        <w:rPr>
          <w:sz w:val="28"/>
          <w:szCs w:val="28"/>
          <w:lang w:val="pt-BR"/>
        </w:rPr>
        <w:t>-201</w:t>
      </w:r>
      <w:r>
        <w:rPr>
          <w:sz w:val="28"/>
          <w:szCs w:val="28"/>
          <w:lang w:val="pt-BR"/>
        </w:rPr>
        <w:t>9</w:t>
      </w:r>
      <w:r w:rsidRPr="006B5F2B">
        <w:rPr>
          <w:sz w:val="28"/>
          <w:szCs w:val="28"/>
          <w:lang w:val="pt-BR"/>
        </w:rPr>
        <w:t xml:space="preserve"> là 3</w:t>
      </w:r>
      <w:r>
        <w:rPr>
          <w:sz w:val="28"/>
          <w:szCs w:val="28"/>
          <w:lang w:val="pt-BR"/>
        </w:rPr>
        <w:t>3</w:t>
      </w:r>
      <w:r w:rsidRPr="006B5F2B">
        <w:rPr>
          <w:sz w:val="28"/>
          <w:szCs w:val="28"/>
          <w:lang w:val="pt-BR"/>
        </w:rPr>
        <w:t>.</w:t>
      </w:r>
      <w:r>
        <w:rPr>
          <w:sz w:val="28"/>
          <w:szCs w:val="28"/>
          <w:lang w:val="pt-BR"/>
        </w:rPr>
        <w:t>522</w:t>
      </w:r>
      <w:r w:rsidRPr="006B5F2B">
        <w:rPr>
          <w:sz w:val="28"/>
          <w:szCs w:val="28"/>
          <w:lang w:val="pt-BR"/>
        </w:rPr>
        <w:t xml:space="preserve"> đồng/kg (</w:t>
      </w:r>
      <w:r>
        <w:rPr>
          <w:sz w:val="28"/>
          <w:szCs w:val="28"/>
          <w:lang w:val="pt-BR"/>
        </w:rPr>
        <w:t>giảm 8</w:t>
      </w:r>
      <w:r w:rsidRPr="006B5F2B">
        <w:rPr>
          <w:sz w:val="28"/>
          <w:szCs w:val="28"/>
          <w:lang w:val="pt-BR"/>
        </w:rPr>
        <w:t>,</w:t>
      </w:r>
      <w:r>
        <w:rPr>
          <w:sz w:val="28"/>
          <w:szCs w:val="28"/>
          <w:lang w:val="pt-BR"/>
        </w:rPr>
        <w:t>4</w:t>
      </w:r>
      <w:r w:rsidRPr="006B5F2B">
        <w:rPr>
          <w:sz w:val="28"/>
          <w:szCs w:val="28"/>
          <w:lang w:val="pt-BR"/>
        </w:rPr>
        <w:t>% so với giá bình quân niên vụ 201</w:t>
      </w:r>
      <w:r>
        <w:rPr>
          <w:sz w:val="28"/>
          <w:szCs w:val="28"/>
          <w:lang w:val="pt-BR"/>
        </w:rPr>
        <w:t>7</w:t>
      </w:r>
      <w:r w:rsidRPr="006B5F2B">
        <w:rPr>
          <w:sz w:val="28"/>
          <w:szCs w:val="28"/>
          <w:lang w:val="pt-BR"/>
        </w:rPr>
        <w:t>-201</w:t>
      </w:r>
      <w:r>
        <w:rPr>
          <w:sz w:val="28"/>
          <w:szCs w:val="28"/>
          <w:lang w:val="pt-BR"/>
        </w:rPr>
        <w:t>8</w:t>
      </w:r>
      <w:r w:rsidRPr="006B5F2B">
        <w:rPr>
          <w:sz w:val="28"/>
          <w:szCs w:val="28"/>
          <w:lang w:val="pt-BR"/>
        </w:rPr>
        <w:t xml:space="preserve"> là </w:t>
      </w:r>
      <w:r>
        <w:rPr>
          <w:sz w:val="28"/>
          <w:szCs w:val="28"/>
          <w:lang w:val="pt-BR"/>
        </w:rPr>
        <w:t>36</w:t>
      </w:r>
      <w:r w:rsidRPr="006B5F2B">
        <w:rPr>
          <w:sz w:val="28"/>
          <w:szCs w:val="28"/>
          <w:lang w:val="pt-BR"/>
        </w:rPr>
        <w:t>.</w:t>
      </w:r>
      <w:r>
        <w:rPr>
          <w:sz w:val="28"/>
          <w:szCs w:val="28"/>
          <w:lang w:val="pt-BR"/>
        </w:rPr>
        <w:t>595</w:t>
      </w:r>
      <w:r w:rsidRPr="006B5F2B">
        <w:rPr>
          <w:sz w:val="28"/>
          <w:szCs w:val="28"/>
          <w:lang w:val="pt-BR"/>
        </w:rPr>
        <w:t xml:space="preserve"> đồng/kg).</w:t>
      </w:r>
      <w:r>
        <w:rPr>
          <w:sz w:val="28"/>
          <w:szCs w:val="28"/>
          <w:lang w:val="pt-BR"/>
        </w:rPr>
        <w:t xml:space="preserve"> </w:t>
      </w:r>
      <w:r w:rsidRPr="006B5F2B">
        <w:rPr>
          <w:color w:val="0D0D0D"/>
          <w:sz w:val="28"/>
          <w:szCs w:val="28"/>
          <w:lang w:val="pt-BR"/>
        </w:rPr>
        <w:t xml:space="preserve">Thời điểm </w:t>
      </w:r>
      <w:r>
        <w:rPr>
          <w:color w:val="0D0D0D"/>
          <w:sz w:val="28"/>
          <w:szCs w:val="28"/>
          <w:lang w:val="pt-BR"/>
        </w:rPr>
        <w:t xml:space="preserve">giá mua </w:t>
      </w:r>
      <w:r w:rsidRPr="006B5F2B">
        <w:rPr>
          <w:color w:val="0D0D0D"/>
          <w:sz w:val="28"/>
          <w:szCs w:val="28"/>
          <w:lang w:val="pt-BR"/>
        </w:rPr>
        <w:t xml:space="preserve">cao nhất </w:t>
      </w:r>
      <w:r>
        <w:rPr>
          <w:color w:val="0D0D0D"/>
          <w:sz w:val="28"/>
          <w:szCs w:val="28"/>
          <w:lang w:val="pt-BR"/>
        </w:rPr>
        <w:t xml:space="preserve">vào tháng 10/2018 </w:t>
      </w:r>
      <w:r w:rsidRPr="006B5F2B">
        <w:rPr>
          <w:color w:val="0D0D0D"/>
          <w:sz w:val="28"/>
          <w:szCs w:val="28"/>
          <w:lang w:val="pt-BR"/>
        </w:rPr>
        <w:t>đạt</w:t>
      </w:r>
      <w:r>
        <w:rPr>
          <w:color w:val="0D0D0D"/>
          <w:sz w:val="28"/>
          <w:szCs w:val="28"/>
          <w:lang w:val="pt-BR"/>
        </w:rPr>
        <w:t xml:space="preserve"> trung bình 36.193</w:t>
      </w:r>
      <w:r w:rsidRPr="006B5F2B">
        <w:rPr>
          <w:color w:val="0D0D0D"/>
          <w:sz w:val="28"/>
          <w:szCs w:val="28"/>
          <w:lang w:val="pt-BR"/>
        </w:rPr>
        <w:t xml:space="preserve"> đồng/kg trong đó</w:t>
      </w:r>
      <w:r w:rsidRPr="006B5F2B">
        <w:rPr>
          <w:sz w:val="28"/>
          <w:szCs w:val="28"/>
          <w:lang w:val="pt-BR"/>
        </w:rPr>
        <w:t xml:space="preserve"> ngày</w:t>
      </w:r>
      <w:r>
        <w:rPr>
          <w:sz w:val="28"/>
          <w:szCs w:val="28"/>
          <w:lang w:val="pt-BR"/>
        </w:rPr>
        <w:t xml:space="preserve"> có giá mua cao  nhất </w:t>
      </w:r>
      <w:r w:rsidRPr="00B87F1A">
        <w:rPr>
          <w:sz w:val="28"/>
          <w:szCs w:val="28"/>
          <w:lang w:val="pt-BR"/>
        </w:rPr>
        <w:t>37.800 đồng/kg</w:t>
      </w:r>
      <w:r>
        <w:rPr>
          <w:sz w:val="28"/>
          <w:szCs w:val="28"/>
          <w:lang w:val="pt-BR"/>
        </w:rPr>
        <w:t xml:space="preserve"> (ngày</w:t>
      </w:r>
      <w:r w:rsidRPr="006B5F2B">
        <w:rPr>
          <w:sz w:val="28"/>
          <w:szCs w:val="28"/>
          <w:lang w:val="pt-BR"/>
        </w:rPr>
        <w:t xml:space="preserve"> 1</w:t>
      </w:r>
      <w:r>
        <w:rPr>
          <w:sz w:val="28"/>
          <w:szCs w:val="28"/>
          <w:lang w:val="pt-BR"/>
        </w:rPr>
        <w:t>8</w:t>
      </w:r>
      <w:r w:rsidRPr="006B5F2B">
        <w:rPr>
          <w:sz w:val="28"/>
          <w:szCs w:val="28"/>
          <w:lang w:val="pt-BR"/>
        </w:rPr>
        <w:t>/10/201</w:t>
      </w:r>
      <w:r>
        <w:rPr>
          <w:sz w:val="28"/>
          <w:szCs w:val="28"/>
          <w:lang w:val="pt-BR"/>
        </w:rPr>
        <w:t>8);</w:t>
      </w:r>
      <w:r w:rsidRPr="006B5F2B">
        <w:rPr>
          <w:sz w:val="28"/>
          <w:szCs w:val="28"/>
          <w:lang w:val="pt-BR"/>
        </w:rPr>
        <w:t xml:space="preserve"> </w:t>
      </w:r>
      <w:r>
        <w:rPr>
          <w:color w:val="0D0D0D"/>
          <w:sz w:val="28"/>
          <w:szCs w:val="28"/>
          <w:lang w:val="pt-BR"/>
        </w:rPr>
        <w:t xml:space="preserve">tháng 5/2019 có giá mua trung bình thấp </w:t>
      </w:r>
      <w:r w:rsidRPr="006B5F2B">
        <w:rPr>
          <w:color w:val="0D0D0D"/>
          <w:sz w:val="28"/>
          <w:szCs w:val="28"/>
          <w:lang w:val="pt-BR"/>
        </w:rPr>
        <w:t>nhất chỉ ở mức 3</w:t>
      </w:r>
      <w:r>
        <w:rPr>
          <w:color w:val="0D0D0D"/>
          <w:sz w:val="28"/>
          <w:szCs w:val="28"/>
          <w:lang w:val="pt-BR"/>
        </w:rPr>
        <w:t>1</w:t>
      </w:r>
      <w:r w:rsidRPr="006B5F2B">
        <w:rPr>
          <w:color w:val="0D0D0D"/>
          <w:sz w:val="28"/>
          <w:szCs w:val="28"/>
          <w:lang w:val="pt-BR"/>
        </w:rPr>
        <w:t>.</w:t>
      </w:r>
      <w:r>
        <w:rPr>
          <w:color w:val="0D0D0D"/>
          <w:sz w:val="28"/>
          <w:szCs w:val="28"/>
          <w:lang w:val="pt-BR"/>
        </w:rPr>
        <w:t>323</w:t>
      </w:r>
      <w:r w:rsidRPr="006B5F2B">
        <w:rPr>
          <w:color w:val="0D0D0D"/>
          <w:sz w:val="28"/>
          <w:szCs w:val="28"/>
          <w:lang w:val="pt-BR"/>
        </w:rPr>
        <w:t xml:space="preserve"> đồng/kg</w:t>
      </w:r>
      <w:r>
        <w:rPr>
          <w:color w:val="0D0D0D"/>
          <w:sz w:val="28"/>
          <w:szCs w:val="28"/>
          <w:lang w:val="pt-BR"/>
        </w:rPr>
        <w:t xml:space="preserve">, </w:t>
      </w:r>
      <w:r w:rsidRPr="006B5F2B">
        <w:rPr>
          <w:color w:val="0D0D0D"/>
          <w:sz w:val="28"/>
          <w:szCs w:val="28"/>
          <w:lang w:val="pt-BR"/>
        </w:rPr>
        <w:t>ngày</w:t>
      </w:r>
      <w:r>
        <w:rPr>
          <w:color w:val="0D0D0D"/>
          <w:sz w:val="28"/>
          <w:szCs w:val="28"/>
          <w:lang w:val="pt-BR"/>
        </w:rPr>
        <w:t xml:space="preserve"> có giá mua thấp nhất trong niên vụ là 29.800 đồng/kg (ngày</w:t>
      </w:r>
      <w:r w:rsidRPr="006B5F2B">
        <w:rPr>
          <w:color w:val="0D0D0D"/>
          <w:sz w:val="28"/>
          <w:szCs w:val="28"/>
          <w:lang w:val="pt-BR"/>
        </w:rPr>
        <w:t xml:space="preserve"> </w:t>
      </w:r>
      <w:r>
        <w:rPr>
          <w:color w:val="0D0D0D"/>
          <w:sz w:val="28"/>
          <w:szCs w:val="28"/>
          <w:lang w:val="pt-BR"/>
        </w:rPr>
        <w:t>9</w:t>
      </w:r>
      <w:r w:rsidRPr="006B5F2B">
        <w:rPr>
          <w:color w:val="0D0D0D"/>
          <w:sz w:val="28"/>
          <w:szCs w:val="28"/>
          <w:lang w:val="pt-BR"/>
        </w:rPr>
        <w:t>/</w:t>
      </w:r>
      <w:r>
        <w:rPr>
          <w:color w:val="0D0D0D"/>
          <w:sz w:val="28"/>
          <w:szCs w:val="28"/>
          <w:lang w:val="pt-BR"/>
        </w:rPr>
        <w:t>5</w:t>
      </w:r>
      <w:r w:rsidRPr="006B5F2B">
        <w:rPr>
          <w:color w:val="0D0D0D"/>
          <w:sz w:val="28"/>
          <w:szCs w:val="28"/>
          <w:lang w:val="pt-BR"/>
        </w:rPr>
        <w:t>/201</w:t>
      </w:r>
      <w:r>
        <w:rPr>
          <w:color w:val="0D0D0D"/>
          <w:sz w:val="28"/>
          <w:szCs w:val="28"/>
          <w:lang w:val="pt-BR"/>
        </w:rPr>
        <w:t>9).</w:t>
      </w:r>
      <w:r w:rsidRPr="006B5F2B">
        <w:rPr>
          <w:color w:val="0D0D0D"/>
          <w:sz w:val="28"/>
          <w:szCs w:val="28"/>
          <w:lang w:val="pt-BR"/>
        </w:rPr>
        <w:t xml:space="preserve"> </w:t>
      </w:r>
    </w:p>
    <w:p w:rsidR="000A4C29" w:rsidRPr="006B5F2B" w:rsidRDefault="000A4C29" w:rsidP="00D94329">
      <w:pPr>
        <w:spacing w:before="80" w:after="80"/>
        <w:ind w:firstLine="720"/>
        <w:jc w:val="both"/>
        <w:rPr>
          <w:i/>
          <w:iCs/>
          <w:sz w:val="28"/>
          <w:szCs w:val="28"/>
          <w:lang w:val="pt-BR"/>
        </w:rPr>
      </w:pPr>
      <w:r w:rsidRPr="006B5F2B">
        <w:rPr>
          <w:i/>
          <w:iCs/>
          <w:sz w:val="28"/>
          <w:szCs w:val="28"/>
          <w:lang w:val="pt-BR"/>
        </w:rPr>
        <w:t>Biểu đồ giá mua cà phê nhân xô bình quân trên địa bàn tỉnh Đắk Lắk</w:t>
      </w:r>
    </w:p>
    <w:p w:rsidR="000A4C29" w:rsidRPr="006B5F2B" w:rsidRDefault="00B75A52" w:rsidP="00D94329">
      <w:pPr>
        <w:spacing w:before="80" w:after="80"/>
        <w:jc w:val="center"/>
        <w:rPr>
          <w:i/>
          <w:iCs/>
          <w:sz w:val="27"/>
          <w:szCs w:val="27"/>
          <w:lang w:val="pt-BR"/>
        </w:rPr>
      </w:pPr>
      <w:r>
        <w:rPr>
          <w:i/>
          <w:iCs/>
          <w:noProof/>
          <w:sz w:val="27"/>
          <w:szCs w:val="27"/>
        </w:rPr>
        <w:drawing>
          <wp:inline distT="0" distB="0" distL="0" distR="0">
            <wp:extent cx="5781675" cy="2705100"/>
            <wp:effectExtent l="0" t="0" r="0" b="0"/>
            <wp:docPr id="1" name="Objec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4C29" w:rsidRPr="00C77B0B" w:rsidRDefault="000A4C29" w:rsidP="00D94329">
      <w:pPr>
        <w:spacing w:before="120" w:after="120"/>
        <w:ind w:firstLine="720"/>
        <w:jc w:val="both"/>
        <w:rPr>
          <w:i/>
          <w:iCs/>
          <w:sz w:val="28"/>
          <w:szCs w:val="28"/>
          <w:lang w:val="pt-BR"/>
        </w:rPr>
      </w:pPr>
      <w:r>
        <w:rPr>
          <w:b/>
          <w:bCs/>
          <w:sz w:val="28"/>
          <w:szCs w:val="28"/>
          <w:lang w:val="pt-BR"/>
        </w:rPr>
        <w:tab/>
      </w:r>
      <w:r>
        <w:rPr>
          <w:b/>
          <w:bCs/>
          <w:sz w:val="28"/>
          <w:szCs w:val="28"/>
          <w:lang w:val="pt-BR"/>
        </w:rPr>
        <w:tab/>
      </w:r>
      <w:r>
        <w:rPr>
          <w:b/>
          <w:bCs/>
          <w:sz w:val="28"/>
          <w:szCs w:val="28"/>
          <w:lang w:val="pt-BR"/>
        </w:rPr>
        <w:tab/>
      </w:r>
      <w:r>
        <w:rPr>
          <w:b/>
          <w:bCs/>
          <w:sz w:val="28"/>
          <w:szCs w:val="28"/>
          <w:lang w:val="pt-BR"/>
        </w:rPr>
        <w:tab/>
      </w:r>
      <w:r>
        <w:rPr>
          <w:b/>
          <w:bCs/>
          <w:sz w:val="28"/>
          <w:szCs w:val="28"/>
          <w:lang w:val="pt-BR"/>
        </w:rPr>
        <w:tab/>
      </w:r>
      <w:r>
        <w:rPr>
          <w:b/>
          <w:bCs/>
          <w:sz w:val="28"/>
          <w:szCs w:val="28"/>
          <w:lang w:val="pt-BR"/>
        </w:rPr>
        <w:tab/>
      </w:r>
      <w:r w:rsidRPr="00C77B0B">
        <w:rPr>
          <w:i/>
          <w:iCs/>
          <w:sz w:val="28"/>
          <w:szCs w:val="28"/>
          <w:lang w:val="pt-BR"/>
        </w:rPr>
        <w:t>(Nguồn: Sở Công Thương)</w:t>
      </w:r>
    </w:p>
    <w:p w:rsidR="000A4C29" w:rsidRPr="006B5F2B" w:rsidRDefault="000A4C29" w:rsidP="00D94329">
      <w:pPr>
        <w:spacing w:before="120" w:after="120"/>
        <w:ind w:firstLine="720"/>
        <w:jc w:val="both"/>
        <w:rPr>
          <w:sz w:val="28"/>
          <w:szCs w:val="28"/>
          <w:lang w:val="pt-BR"/>
        </w:rPr>
      </w:pPr>
      <w:r w:rsidRPr="006B5F2B">
        <w:rPr>
          <w:b/>
          <w:bCs/>
          <w:sz w:val="28"/>
          <w:szCs w:val="28"/>
          <w:lang w:val="pt-BR"/>
        </w:rPr>
        <w:t>b) Giá xuất khẩu</w:t>
      </w:r>
    </w:p>
    <w:p w:rsidR="000A4C29" w:rsidRDefault="000A4C29" w:rsidP="00D94329">
      <w:pPr>
        <w:spacing w:before="120" w:after="120"/>
        <w:ind w:right="-19"/>
        <w:jc w:val="both"/>
        <w:rPr>
          <w:sz w:val="28"/>
          <w:szCs w:val="28"/>
          <w:lang w:val="pt-BR"/>
        </w:rPr>
      </w:pPr>
      <w:r w:rsidRPr="006B5F2B">
        <w:rPr>
          <w:sz w:val="28"/>
          <w:szCs w:val="28"/>
          <w:lang w:val="pt-BR"/>
        </w:rPr>
        <w:tab/>
        <w:t xml:space="preserve"> - Giá cà phê Robusta trên thị trường London trong niên vụ 201</w:t>
      </w:r>
      <w:r>
        <w:rPr>
          <w:sz w:val="28"/>
          <w:szCs w:val="28"/>
          <w:lang w:val="pt-BR"/>
        </w:rPr>
        <w:t>8</w:t>
      </w:r>
      <w:r w:rsidRPr="006B5F2B">
        <w:rPr>
          <w:sz w:val="28"/>
          <w:szCs w:val="28"/>
          <w:lang w:val="pt-BR"/>
        </w:rPr>
        <w:t>-201</w:t>
      </w:r>
      <w:r>
        <w:rPr>
          <w:sz w:val="28"/>
          <w:szCs w:val="28"/>
          <w:lang w:val="pt-BR"/>
        </w:rPr>
        <w:t>9</w:t>
      </w:r>
      <w:r w:rsidRPr="006B5F2B">
        <w:rPr>
          <w:sz w:val="28"/>
          <w:szCs w:val="28"/>
          <w:lang w:val="pt-BR"/>
        </w:rPr>
        <w:t xml:space="preserve"> bình quân là 1.</w:t>
      </w:r>
      <w:r>
        <w:rPr>
          <w:sz w:val="28"/>
          <w:szCs w:val="28"/>
          <w:lang w:val="pt-BR"/>
        </w:rPr>
        <w:t>4</w:t>
      </w:r>
      <w:r w:rsidRPr="006B5F2B">
        <w:rPr>
          <w:sz w:val="28"/>
          <w:szCs w:val="28"/>
          <w:lang w:val="pt-BR"/>
        </w:rPr>
        <w:t>7</w:t>
      </w:r>
      <w:r>
        <w:rPr>
          <w:sz w:val="28"/>
          <w:szCs w:val="28"/>
          <w:lang w:val="pt-BR"/>
        </w:rPr>
        <w:t>0</w:t>
      </w:r>
      <w:r w:rsidRPr="006B5F2B">
        <w:rPr>
          <w:sz w:val="28"/>
          <w:szCs w:val="28"/>
          <w:lang w:val="pt-BR"/>
        </w:rPr>
        <w:t xml:space="preserve"> USD/tấn, giảm 1</w:t>
      </w:r>
      <w:r>
        <w:rPr>
          <w:sz w:val="28"/>
          <w:szCs w:val="28"/>
          <w:lang w:val="pt-BR"/>
        </w:rPr>
        <w:t>5</w:t>
      </w:r>
      <w:r w:rsidRPr="006B5F2B">
        <w:rPr>
          <w:sz w:val="28"/>
          <w:szCs w:val="28"/>
          <w:lang w:val="pt-BR"/>
        </w:rPr>
        <w:t>,</w:t>
      </w:r>
      <w:r>
        <w:rPr>
          <w:sz w:val="28"/>
          <w:szCs w:val="28"/>
          <w:lang w:val="pt-BR"/>
        </w:rPr>
        <w:t>37</w:t>
      </w:r>
      <w:r w:rsidRPr="006B5F2B">
        <w:rPr>
          <w:sz w:val="28"/>
          <w:szCs w:val="28"/>
          <w:lang w:val="pt-BR"/>
        </w:rPr>
        <w:t xml:space="preserve">% so với </w:t>
      </w:r>
      <w:r>
        <w:rPr>
          <w:sz w:val="28"/>
          <w:szCs w:val="28"/>
          <w:lang w:val="pt-BR"/>
        </w:rPr>
        <w:t>giá trung bình của niên vụ 2017</w:t>
      </w:r>
      <w:r w:rsidRPr="006B5F2B">
        <w:rPr>
          <w:sz w:val="28"/>
          <w:szCs w:val="28"/>
          <w:lang w:val="pt-BR"/>
        </w:rPr>
        <w:t>-201</w:t>
      </w:r>
      <w:r>
        <w:rPr>
          <w:sz w:val="28"/>
          <w:szCs w:val="28"/>
          <w:lang w:val="pt-BR"/>
        </w:rPr>
        <w:t>8 là 1</w:t>
      </w:r>
      <w:r w:rsidRPr="006B5F2B">
        <w:rPr>
          <w:sz w:val="28"/>
          <w:szCs w:val="28"/>
          <w:lang w:val="pt-BR"/>
        </w:rPr>
        <w:t>.</w:t>
      </w:r>
      <w:r>
        <w:rPr>
          <w:sz w:val="28"/>
          <w:szCs w:val="28"/>
          <w:lang w:val="pt-BR"/>
        </w:rPr>
        <w:t>737</w:t>
      </w:r>
      <w:r w:rsidRPr="006B5F2B">
        <w:rPr>
          <w:sz w:val="28"/>
          <w:szCs w:val="28"/>
          <w:lang w:val="pt-BR"/>
        </w:rPr>
        <w:t xml:space="preserve"> USD/tấn. Mức giá chào mua thấp trên thị trường London chủ yếu là do nguồn cung dồi dào và những biến động của thị trường hàng hóa ảnh hưởng bởi cuộc chiến tranh thương mại Mỹ-Trung Quốc</w:t>
      </w:r>
      <w:r>
        <w:rPr>
          <w:sz w:val="28"/>
          <w:szCs w:val="28"/>
          <w:lang w:val="pt-BR"/>
        </w:rPr>
        <w:t xml:space="preserve"> chưa có hồi kết</w:t>
      </w:r>
      <w:r w:rsidRPr="006B5F2B">
        <w:rPr>
          <w:sz w:val="28"/>
          <w:szCs w:val="28"/>
          <w:lang w:val="pt-BR"/>
        </w:rPr>
        <w:t xml:space="preserve">. </w:t>
      </w:r>
    </w:p>
    <w:p w:rsidR="000A4C29" w:rsidRPr="006B5F2B" w:rsidRDefault="000A4C29" w:rsidP="00D94329">
      <w:pPr>
        <w:spacing w:before="120" w:after="120"/>
        <w:ind w:right="-17" w:firstLine="720"/>
        <w:jc w:val="both"/>
        <w:rPr>
          <w:sz w:val="28"/>
          <w:szCs w:val="28"/>
          <w:lang w:val="pt-BR"/>
        </w:rPr>
      </w:pPr>
      <w:r w:rsidRPr="00CC5016">
        <w:rPr>
          <w:sz w:val="28"/>
          <w:szCs w:val="28"/>
          <w:lang w:val="pt-BR"/>
        </w:rPr>
        <w:lastRenderedPageBreak/>
        <w:t xml:space="preserve">- Trong niên vụ 2018-2019 giá FOB tại T/p Hồ Chí Minh từ tháng 10/2018 đến tháng 6/2019 được chào mua với mức trừ lùi từ 45-100 USD/tấn; đến tháng 7/2019 thì giá FOB gần như tương đương với giá tại thị trường London, và trong 2 tháng cuối cùng của niên vụ giá FOB đã được cộng thêm so với mức giá tại London từ 70-200 USD/tấn, nhất là tại thời điểm đầu tháng  9/2019, đã được cộng thêm đến 200 USD/tấn giúp giá FOB trung bình của cả niên vụ đạt bình quân 1.437 USD/tấn, không quá thấp so với giá tại thị trường London. </w:t>
      </w:r>
    </w:p>
    <w:p w:rsidR="000A4C29" w:rsidRPr="006B5F2B" w:rsidRDefault="000A4C29" w:rsidP="00D94329">
      <w:pPr>
        <w:spacing w:before="80" w:after="80" w:line="240" w:lineRule="atLeast"/>
        <w:ind w:right="-19" w:firstLine="720"/>
        <w:jc w:val="both"/>
        <w:rPr>
          <w:i/>
          <w:iCs/>
          <w:sz w:val="27"/>
          <w:szCs w:val="27"/>
          <w:lang w:val="pt-BR"/>
        </w:rPr>
      </w:pPr>
      <w:r w:rsidRPr="006B5F2B">
        <w:rPr>
          <w:i/>
          <w:iCs/>
          <w:sz w:val="28"/>
          <w:szCs w:val="28"/>
          <w:lang w:val="pt-BR"/>
        </w:rPr>
        <w:t>Biểu đồ giá cà phê trên thị trường London và giá FOB niên vụ 2017-2018</w:t>
      </w:r>
    </w:p>
    <w:p w:rsidR="000A4C29" w:rsidRPr="006B5F2B" w:rsidRDefault="00B75A52" w:rsidP="00D94329">
      <w:pPr>
        <w:spacing w:before="80" w:after="80" w:line="240" w:lineRule="atLeast"/>
        <w:ind w:right="-19"/>
        <w:jc w:val="center"/>
        <w:rPr>
          <w:sz w:val="27"/>
          <w:szCs w:val="27"/>
        </w:rPr>
      </w:pPr>
      <w:r>
        <w:rPr>
          <w:noProof/>
          <w:sz w:val="27"/>
          <w:szCs w:val="27"/>
        </w:rPr>
        <w:drawing>
          <wp:inline distT="0" distB="0" distL="0" distR="0">
            <wp:extent cx="5772150" cy="2847975"/>
            <wp:effectExtent l="0" t="0" r="0" b="0"/>
            <wp:docPr id="2" name="Objec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4C29" w:rsidRDefault="000A4C29" w:rsidP="00D94329">
      <w:pPr>
        <w:spacing w:before="120" w:after="120"/>
        <w:ind w:right="-17" w:firstLine="720"/>
        <w:jc w:val="both"/>
        <w:rPr>
          <w:sz w:val="28"/>
          <w:szCs w:val="28"/>
        </w:rPr>
      </w:pPr>
      <w:r w:rsidRPr="006B5F2B">
        <w:rPr>
          <w:sz w:val="28"/>
          <w:szCs w:val="28"/>
        </w:rPr>
        <w:t xml:space="preserve">- Giá xuất khẩu cà phê nhân </w:t>
      </w:r>
      <w:r>
        <w:rPr>
          <w:sz w:val="28"/>
          <w:szCs w:val="28"/>
        </w:rPr>
        <w:t xml:space="preserve">bình quân </w:t>
      </w:r>
      <w:r w:rsidRPr="006B5F2B">
        <w:rPr>
          <w:sz w:val="28"/>
          <w:szCs w:val="28"/>
        </w:rPr>
        <w:t xml:space="preserve">của các doanh nghiệp tỉnh Đắk Lắk </w:t>
      </w:r>
      <w:r>
        <w:rPr>
          <w:sz w:val="28"/>
          <w:szCs w:val="28"/>
        </w:rPr>
        <w:t xml:space="preserve">trong niên </w:t>
      </w:r>
      <w:r w:rsidRPr="006B5F2B">
        <w:rPr>
          <w:sz w:val="28"/>
          <w:szCs w:val="28"/>
        </w:rPr>
        <w:t>vụ</w:t>
      </w:r>
      <w:r>
        <w:rPr>
          <w:sz w:val="28"/>
          <w:szCs w:val="28"/>
        </w:rPr>
        <w:t xml:space="preserve"> đạt 1.550 USD/tấn, giảm 260</w:t>
      </w:r>
      <w:r w:rsidRPr="006B5F2B">
        <w:rPr>
          <w:sz w:val="28"/>
          <w:szCs w:val="28"/>
        </w:rPr>
        <w:t xml:space="preserve"> USD/tấn</w:t>
      </w:r>
      <w:r>
        <w:rPr>
          <w:sz w:val="28"/>
          <w:szCs w:val="28"/>
        </w:rPr>
        <w:t xml:space="preserve"> so với niên vụ trước.</w:t>
      </w:r>
      <w:r w:rsidRPr="006B5F2B">
        <w:rPr>
          <w:sz w:val="28"/>
          <w:szCs w:val="28"/>
        </w:rPr>
        <w:t xml:space="preserve"> </w:t>
      </w:r>
    </w:p>
    <w:p w:rsidR="000A4C29" w:rsidRPr="006B5F2B" w:rsidRDefault="000A4C29" w:rsidP="00D94329">
      <w:pPr>
        <w:spacing w:before="80" w:after="80"/>
        <w:ind w:firstLine="720"/>
        <w:jc w:val="both"/>
        <w:rPr>
          <w:sz w:val="28"/>
          <w:szCs w:val="28"/>
        </w:rPr>
      </w:pPr>
      <w:r w:rsidRPr="006B5F2B">
        <w:rPr>
          <w:i/>
          <w:iCs/>
          <w:sz w:val="28"/>
          <w:szCs w:val="28"/>
        </w:rPr>
        <w:t>Biểu đồ</w:t>
      </w:r>
      <w:r>
        <w:rPr>
          <w:i/>
          <w:iCs/>
          <w:sz w:val="28"/>
          <w:szCs w:val="28"/>
        </w:rPr>
        <w:t>:</w:t>
      </w:r>
      <w:r w:rsidRPr="006B5F2B">
        <w:rPr>
          <w:i/>
          <w:iCs/>
          <w:sz w:val="28"/>
          <w:szCs w:val="28"/>
        </w:rPr>
        <w:t xml:space="preserve"> Giá xuất khẩu cà phê nhân bình quân qua các niên vụ gần đây.</w:t>
      </w:r>
    </w:p>
    <w:p w:rsidR="000A4C29" w:rsidRPr="006B5F2B" w:rsidRDefault="00B75A52" w:rsidP="00D94329">
      <w:pPr>
        <w:spacing w:before="120" w:after="120"/>
        <w:jc w:val="center"/>
        <w:rPr>
          <w:sz w:val="27"/>
          <w:szCs w:val="27"/>
        </w:rPr>
      </w:pPr>
      <w:r>
        <w:rPr>
          <w:noProof/>
          <w:sz w:val="27"/>
          <w:szCs w:val="27"/>
        </w:rPr>
        <w:drawing>
          <wp:inline distT="0" distB="0" distL="0" distR="0">
            <wp:extent cx="5800725" cy="2543175"/>
            <wp:effectExtent l="0" t="0" r="0" b="0"/>
            <wp:docPr id="3"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A4C29" w:rsidRPr="00DE2E4E" w:rsidRDefault="000A4C29" w:rsidP="00D94329">
      <w:pPr>
        <w:spacing w:before="240" w:after="120"/>
        <w:ind w:firstLine="720"/>
        <w:jc w:val="both"/>
        <w:rPr>
          <w:b/>
          <w:bCs/>
          <w:sz w:val="28"/>
          <w:szCs w:val="28"/>
          <w:lang w:val="pt-BR"/>
        </w:rPr>
      </w:pPr>
      <w:r w:rsidRPr="00DE2E4E">
        <w:rPr>
          <w:b/>
          <w:bCs/>
          <w:sz w:val="28"/>
          <w:szCs w:val="28"/>
          <w:lang w:val="pt-BR"/>
        </w:rPr>
        <w:t>2.2 Tình hình xuất khẩu:</w:t>
      </w:r>
    </w:p>
    <w:p w:rsidR="000A4C29" w:rsidRDefault="000A4C29" w:rsidP="00D94329">
      <w:pPr>
        <w:spacing w:before="120" w:after="120"/>
        <w:jc w:val="both"/>
        <w:rPr>
          <w:b/>
          <w:bCs/>
          <w:sz w:val="28"/>
          <w:szCs w:val="28"/>
          <w:lang w:val="pt-BR"/>
        </w:rPr>
      </w:pPr>
      <w:r>
        <w:rPr>
          <w:b/>
          <w:bCs/>
          <w:sz w:val="28"/>
          <w:szCs w:val="28"/>
          <w:lang w:val="pt-BR"/>
        </w:rPr>
        <w:tab/>
        <w:t>a) Số lượng và kim ngạch xuất khẩu</w:t>
      </w:r>
    </w:p>
    <w:p w:rsidR="000A4C29" w:rsidRPr="000D5FAC" w:rsidRDefault="000A4C29" w:rsidP="00D94329">
      <w:pPr>
        <w:spacing w:before="120" w:after="120"/>
        <w:jc w:val="both"/>
        <w:rPr>
          <w:b/>
          <w:bCs/>
          <w:color w:val="1D1B11"/>
          <w:sz w:val="28"/>
          <w:szCs w:val="28"/>
          <w:lang w:val="pt-BR"/>
        </w:rPr>
      </w:pPr>
      <w:r w:rsidRPr="0048245E">
        <w:rPr>
          <w:sz w:val="28"/>
          <w:szCs w:val="28"/>
          <w:lang w:val="pt-BR"/>
        </w:rPr>
        <w:lastRenderedPageBreak/>
        <w:tab/>
      </w:r>
      <w:r w:rsidRPr="000D5FAC">
        <w:rPr>
          <w:color w:val="1D1B11"/>
          <w:sz w:val="28"/>
          <w:szCs w:val="28"/>
          <w:lang w:val="pt-BR"/>
        </w:rPr>
        <w:t xml:space="preserve">Theo số liệu của Tổng Cục Hải quan Việt Nam niên vụ 2018-2019 tổng lượng cà phê xuất khẩu của cả nước đạt 1,696 triệu tấn, kim ngạch đạt 2,961 tỷ USD, giảm 5,5% về lượng và giảm 15,1% về giá trị so với niên vụ trước. Trong đó tổng lượng cà phê xuất khẩu của tỉnh Đắk Lắk là 189.252 tấn, chiếm tỷ lệ 11,2%, kim ngạch đạt 314,512 triệu USD chiếm tỷ lệ 10,6% so với cả nước. So với niên vụ 2017-2018 thì tỷ trọng xuất khẩu cà phê của tỉnh Đắk Lắk so với cả nước đều tăng cả về lượng và kim ngạch. </w:t>
      </w:r>
    </w:p>
    <w:p w:rsidR="000A4C29" w:rsidRPr="000D5FAC" w:rsidRDefault="000A4C29" w:rsidP="00D94329">
      <w:pPr>
        <w:spacing w:before="120" w:after="120"/>
        <w:ind w:firstLine="720"/>
        <w:jc w:val="both"/>
        <w:rPr>
          <w:color w:val="FF0000"/>
          <w:sz w:val="28"/>
          <w:szCs w:val="28"/>
          <w:lang w:val="pt-BR"/>
        </w:rPr>
      </w:pPr>
      <w:r w:rsidRPr="00DE2E4E">
        <w:rPr>
          <w:sz w:val="28"/>
          <w:szCs w:val="28"/>
          <w:lang w:val="pt-BR"/>
        </w:rPr>
        <w:t>- Xuất khẩu cà phê nhân trong niên vụ 2018-2019 đạt 184.252 tấn, giảm 3,6%, kim ngạch</w:t>
      </w:r>
      <w:r w:rsidRPr="000D5FAC">
        <w:rPr>
          <w:color w:val="1D1B11"/>
          <w:sz w:val="28"/>
          <w:szCs w:val="28"/>
          <w:lang w:val="pt-BR"/>
        </w:rPr>
        <w:t xml:space="preserve"> đạt 285,728 triệu USD giảm đến 21,7% so với niên vụ trước. </w:t>
      </w:r>
    </w:p>
    <w:p w:rsidR="000A4C29" w:rsidRPr="002A05F2" w:rsidRDefault="000A4C29" w:rsidP="00D94329">
      <w:pPr>
        <w:spacing w:before="120" w:after="120"/>
        <w:jc w:val="both"/>
        <w:rPr>
          <w:color w:val="1D1B11"/>
          <w:sz w:val="28"/>
          <w:szCs w:val="28"/>
          <w:lang w:val="pt-BR"/>
        </w:rPr>
      </w:pPr>
      <w:r w:rsidRPr="000D5FAC">
        <w:rPr>
          <w:color w:val="FF0000"/>
          <w:sz w:val="28"/>
          <w:szCs w:val="28"/>
          <w:lang w:val="pt-BR"/>
        </w:rPr>
        <w:tab/>
      </w:r>
      <w:r w:rsidRPr="00DE2E4E">
        <w:rPr>
          <w:sz w:val="28"/>
          <w:szCs w:val="28"/>
          <w:lang w:val="pt-BR"/>
        </w:rPr>
        <w:t>- Xuất khẩu cà phê hòa tan</w:t>
      </w:r>
      <w:r w:rsidRPr="002A05F2">
        <w:rPr>
          <w:color w:val="FF0000"/>
          <w:sz w:val="28"/>
          <w:szCs w:val="28"/>
          <w:lang w:val="pt-BR"/>
        </w:rPr>
        <w:t xml:space="preserve"> </w:t>
      </w:r>
      <w:r w:rsidRPr="002A05F2">
        <w:rPr>
          <w:color w:val="1D1B11"/>
          <w:sz w:val="28"/>
          <w:szCs w:val="28"/>
          <w:lang w:val="pt-BR"/>
        </w:rPr>
        <w:t>đ</w:t>
      </w:r>
      <w:r>
        <w:rPr>
          <w:color w:val="1D1B11"/>
          <w:sz w:val="28"/>
          <w:szCs w:val="28"/>
          <w:lang w:val="pt-BR"/>
        </w:rPr>
        <w:t>ạt</w:t>
      </w:r>
      <w:r w:rsidRPr="002A05F2">
        <w:rPr>
          <w:color w:val="1D1B11"/>
          <w:sz w:val="28"/>
          <w:szCs w:val="28"/>
          <w:lang w:val="pt-BR"/>
        </w:rPr>
        <w:t xml:space="preserve"> 5.000 tấn </w:t>
      </w:r>
      <w:r w:rsidRPr="002A05F2">
        <w:rPr>
          <w:sz w:val="28"/>
          <w:szCs w:val="28"/>
          <w:lang w:val="pt-BR"/>
        </w:rPr>
        <w:t>(tương đương với 15.000 tấn cà phê nhân</w:t>
      </w:r>
      <w:r w:rsidRPr="002A05F2">
        <w:rPr>
          <w:color w:val="1D1B11"/>
          <w:sz w:val="28"/>
          <w:szCs w:val="28"/>
          <w:lang w:val="pt-BR"/>
        </w:rPr>
        <w:t>); kim ngạch đạt 28,785 triệu USD, chiếm tỷ lệ 9,14% tổng kim ngạch xuất khẩu cà phê của tỉnh. So với niên vụ cà phê 2017-2018 số lượng cà phê hòa tan xuất khẩu tăng 15,5% và kim ngạch tăng 7,1%. So với cà phê nhân thì xuất khẩu cà phê hòa tan và các sản phẩm cà phê chế biến khác vẫn chiếm tỷ lệ thấp, chưa mang lại nhiều giá trị gia tăng cho hạt cà phê Đắk Lắk.</w:t>
      </w:r>
    </w:p>
    <w:p w:rsidR="000A4C29" w:rsidRPr="00A523E9" w:rsidRDefault="000A4C29" w:rsidP="00D94329">
      <w:pPr>
        <w:pStyle w:val="BodyText"/>
        <w:spacing w:before="120" w:after="120"/>
        <w:ind w:firstLine="720"/>
        <w:rPr>
          <w:color w:val="0D0D0D"/>
          <w:sz w:val="28"/>
          <w:szCs w:val="28"/>
          <w:lang w:val="pt-BR"/>
        </w:rPr>
      </w:pPr>
      <w:r w:rsidRPr="0098547F">
        <w:rPr>
          <w:color w:val="0D0D0D"/>
          <w:sz w:val="28"/>
          <w:szCs w:val="28"/>
          <w:lang w:val="pt-BR"/>
        </w:rPr>
        <w:t xml:space="preserve">Hiện tại, tỉnh Đắk Lắk </w:t>
      </w:r>
      <w:r>
        <w:rPr>
          <w:color w:val="0D0D0D"/>
          <w:sz w:val="28"/>
          <w:szCs w:val="28"/>
          <w:lang w:val="pt-BR"/>
        </w:rPr>
        <w:t xml:space="preserve">vẫn chỉ </w:t>
      </w:r>
      <w:r w:rsidRPr="0098547F">
        <w:rPr>
          <w:color w:val="0D0D0D"/>
          <w:sz w:val="28"/>
          <w:szCs w:val="28"/>
          <w:lang w:val="pt-BR"/>
        </w:rPr>
        <w:t>có 11 doanh nghiệp tham gia xuất khẩu cà phê, t</w:t>
      </w:r>
      <w:r w:rsidRPr="00D61A97">
        <w:rPr>
          <w:color w:val="1D1B11"/>
          <w:sz w:val="28"/>
          <w:szCs w:val="28"/>
          <w:lang w:val="pt-BR"/>
        </w:rPr>
        <w:t xml:space="preserve">rong đó có 07 doanh nghiệp địa phương, 03 doanh nghiệp FDI và 01 chi nhánh của doanh nghiệp thành phố Hồ Chí Minh (Chi nhánh Công ty CP tập đoàn Intimex - Buôn Ma Thuột). Số lượng cà phê xuất khẩu chủ yếu tập trung vào một số doanh nghiệp </w:t>
      </w:r>
      <w:r>
        <w:rPr>
          <w:color w:val="1D1B11"/>
          <w:sz w:val="28"/>
          <w:szCs w:val="28"/>
          <w:lang w:val="pt-BR"/>
        </w:rPr>
        <w:t xml:space="preserve">lớn </w:t>
      </w:r>
      <w:r w:rsidRPr="00D61A97">
        <w:rPr>
          <w:color w:val="1D1B11"/>
          <w:sz w:val="28"/>
          <w:szCs w:val="28"/>
          <w:lang w:val="pt-BR"/>
        </w:rPr>
        <w:t xml:space="preserve">như: Công ty TNHH một thành viên XNK 2/9 Đắk Lắk, Công ty TNHH Dakman Việt Nam, Chi nhánh Công ty CP tập đoàn Intimex - Buôn Ma Thuột và Công ty TNHH cà phê Hà Lan - Việt Nam. Trong đó, Công ty TNHH một thành viên XNK 2-9 tiếp tục là đơn vị dẫn đầu trên địa bàn tỉnh về xuất khẩu cà phê với </w:t>
      </w:r>
      <w:r>
        <w:rPr>
          <w:color w:val="1D1B11"/>
          <w:sz w:val="28"/>
          <w:szCs w:val="28"/>
          <w:lang w:val="pt-BR"/>
        </w:rPr>
        <w:t>85.443</w:t>
      </w:r>
      <w:r w:rsidRPr="00D61A97">
        <w:rPr>
          <w:color w:val="1D1B11"/>
          <w:sz w:val="28"/>
          <w:szCs w:val="28"/>
          <w:lang w:val="pt-BR"/>
        </w:rPr>
        <w:t xml:space="preserve"> tấn, đạt kim ngạch 1</w:t>
      </w:r>
      <w:r>
        <w:rPr>
          <w:color w:val="1D1B11"/>
          <w:sz w:val="28"/>
          <w:szCs w:val="28"/>
          <w:lang w:val="pt-BR"/>
        </w:rPr>
        <w:t>33</w:t>
      </w:r>
      <w:r w:rsidRPr="00D61A97">
        <w:rPr>
          <w:color w:val="1D1B11"/>
          <w:sz w:val="28"/>
          <w:szCs w:val="28"/>
          <w:lang w:val="pt-BR"/>
        </w:rPr>
        <w:t>,5</w:t>
      </w:r>
      <w:r>
        <w:rPr>
          <w:color w:val="1D1B11"/>
          <w:sz w:val="28"/>
          <w:szCs w:val="28"/>
          <w:lang w:val="pt-BR"/>
        </w:rPr>
        <w:t>72</w:t>
      </w:r>
      <w:r w:rsidRPr="00D61A97">
        <w:rPr>
          <w:color w:val="1D1B11"/>
          <w:sz w:val="28"/>
          <w:szCs w:val="28"/>
          <w:lang w:val="pt-BR"/>
        </w:rPr>
        <w:t xml:space="preserve"> triệu USD; tiếp đến là Công ty TNHH Dakman Việt Nam với lượng cà phê xuất khẩu đạt 3</w:t>
      </w:r>
      <w:r>
        <w:rPr>
          <w:color w:val="1D1B11"/>
          <w:sz w:val="28"/>
          <w:szCs w:val="28"/>
          <w:lang w:val="pt-BR"/>
        </w:rPr>
        <w:t>9</w:t>
      </w:r>
      <w:r w:rsidRPr="00D61A97">
        <w:rPr>
          <w:color w:val="1D1B11"/>
          <w:sz w:val="28"/>
          <w:szCs w:val="28"/>
          <w:lang w:val="pt-BR"/>
        </w:rPr>
        <w:t>.</w:t>
      </w:r>
      <w:r>
        <w:rPr>
          <w:color w:val="1D1B11"/>
          <w:sz w:val="28"/>
          <w:szCs w:val="28"/>
          <w:lang w:val="pt-BR"/>
        </w:rPr>
        <w:t>402</w:t>
      </w:r>
      <w:r w:rsidRPr="00D61A97">
        <w:rPr>
          <w:color w:val="1D1B11"/>
          <w:sz w:val="28"/>
          <w:szCs w:val="28"/>
          <w:lang w:val="pt-BR"/>
        </w:rPr>
        <w:t xml:space="preserve"> tấn, kim ngạch</w:t>
      </w:r>
      <w:r>
        <w:rPr>
          <w:color w:val="1D1B11"/>
          <w:sz w:val="28"/>
          <w:szCs w:val="28"/>
          <w:lang w:val="pt-BR"/>
        </w:rPr>
        <w:t xml:space="preserve"> 62</w:t>
      </w:r>
      <w:r w:rsidRPr="00D61A97">
        <w:rPr>
          <w:color w:val="1D1B11"/>
          <w:sz w:val="28"/>
          <w:szCs w:val="28"/>
          <w:lang w:val="pt-BR"/>
        </w:rPr>
        <w:t>,</w:t>
      </w:r>
      <w:r>
        <w:rPr>
          <w:color w:val="1D1B11"/>
          <w:sz w:val="28"/>
          <w:szCs w:val="28"/>
          <w:lang w:val="pt-BR"/>
        </w:rPr>
        <w:t>989</w:t>
      </w:r>
      <w:r w:rsidRPr="00D61A97">
        <w:rPr>
          <w:color w:val="1D1B11"/>
          <w:sz w:val="28"/>
          <w:szCs w:val="28"/>
          <w:lang w:val="pt-BR"/>
        </w:rPr>
        <w:t xml:space="preserve"> triệu USD.</w:t>
      </w:r>
      <w:r w:rsidRPr="0098547F">
        <w:rPr>
          <w:color w:val="0D0D0D"/>
          <w:sz w:val="28"/>
          <w:szCs w:val="28"/>
          <w:lang w:val="pt-BR"/>
        </w:rPr>
        <w:t xml:space="preserve"> </w:t>
      </w:r>
      <w:r>
        <w:rPr>
          <w:color w:val="0D0D0D"/>
          <w:sz w:val="28"/>
          <w:szCs w:val="28"/>
          <w:lang w:val="pt-BR"/>
        </w:rPr>
        <w:t>Ngoài ra có 02 doanh nghiệp chuyên chế biến và xuất khẩu cà phê hòa tan là Công ty TNHH cà phê Ngon và Công ty Cổ phần đầu tư và phát triển An Thái.</w:t>
      </w:r>
    </w:p>
    <w:p w:rsidR="000A4C29" w:rsidRPr="00D61A97" w:rsidRDefault="00B75A52" w:rsidP="00D94329">
      <w:pPr>
        <w:ind w:firstLine="720"/>
        <w:rPr>
          <w:i/>
          <w:iCs/>
          <w:color w:val="1D1B11"/>
          <w:sz w:val="28"/>
          <w:szCs w:val="28"/>
          <w:lang w:val="pt-BR"/>
        </w:rPr>
      </w:pPr>
      <w:r>
        <w:rPr>
          <w:noProof/>
        </w:rPr>
        <w:drawing>
          <wp:anchor distT="0" distB="0" distL="114300" distR="114300" simplePos="0" relativeHeight="251659264" behindDoc="0" locked="0" layoutInCell="1" allowOverlap="1">
            <wp:simplePos x="0" y="0"/>
            <wp:positionH relativeFrom="column">
              <wp:posOffset>69850</wp:posOffset>
            </wp:positionH>
            <wp:positionV relativeFrom="paragraph">
              <wp:posOffset>416560</wp:posOffset>
            </wp:positionV>
            <wp:extent cx="5858510" cy="3359150"/>
            <wp:effectExtent l="3175" t="0" r="0" b="5715"/>
            <wp:wrapSquare wrapText="bothSides"/>
            <wp:docPr id="5"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A4C29" w:rsidRPr="00D61A97">
        <w:rPr>
          <w:i/>
          <w:iCs/>
          <w:color w:val="1D1B11"/>
          <w:sz w:val="28"/>
          <w:szCs w:val="28"/>
          <w:lang w:val="pt-BR"/>
        </w:rPr>
        <w:t>Biểu đồ</w:t>
      </w:r>
      <w:r w:rsidR="000A4C29">
        <w:rPr>
          <w:i/>
          <w:iCs/>
          <w:color w:val="1D1B11"/>
          <w:sz w:val="28"/>
          <w:szCs w:val="28"/>
          <w:lang w:val="pt-BR"/>
        </w:rPr>
        <w:t>:</w:t>
      </w:r>
      <w:r w:rsidR="000A4C29" w:rsidRPr="00D61A97">
        <w:rPr>
          <w:i/>
          <w:iCs/>
          <w:color w:val="1D1B11"/>
          <w:sz w:val="28"/>
          <w:szCs w:val="28"/>
          <w:lang w:val="pt-BR"/>
        </w:rPr>
        <w:t xml:space="preserve"> xuất khẩu cà phê của tỉnh Đắk Lắk trong các niên vụ gần đây</w:t>
      </w:r>
    </w:p>
    <w:p w:rsidR="000A4C29" w:rsidRPr="00D106C5" w:rsidRDefault="000A4C29" w:rsidP="00D94329">
      <w:pPr>
        <w:spacing w:before="120" w:after="120"/>
        <w:ind w:firstLine="720"/>
        <w:jc w:val="both"/>
        <w:rPr>
          <w:b/>
          <w:bCs/>
          <w:color w:val="0D0D0D"/>
          <w:sz w:val="28"/>
          <w:szCs w:val="28"/>
          <w:lang w:val="pt-BR"/>
        </w:rPr>
      </w:pPr>
      <w:r w:rsidRPr="00D106C5">
        <w:rPr>
          <w:b/>
          <w:bCs/>
          <w:color w:val="0D0D0D"/>
          <w:sz w:val="28"/>
          <w:szCs w:val="28"/>
          <w:lang w:val="pt-BR"/>
        </w:rPr>
        <w:lastRenderedPageBreak/>
        <w:t>b) Thị trường xuất khẩu</w:t>
      </w:r>
    </w:p>
    <w:p w:rsidR="000A4C29" w:rsidRDefault="000A4C29" w:rsidP="00D94329">
      <w:pPr>
        <w:spacing w:before="120" w:after="120"/>
        <w:ind w:firstLine="720"/>
        <w:jc w:val="both"/>
        <w:rPr>
          <w:color w:val="0D0D0D"/>
          <w:sz w:val="28"/>
          <w:szCs w:val="28"/>
          <w:lang w:val="pt-BR"/>
        </w:rPr>
      </w:pPr>
      <w:r w:rsidRPr="00421FC4">
        <w:rPr>
          <w:color w:val="0D0D0D"/>
          <w:sz w:val="28"/>
          <w:szCs w:val="28"/>
          <w:lang w:val="pt-BR"/>
        </w:rPr>
        <w:t xml:space="preserve">Trong </w:t>
      </w:r>
      <w:r>
        <w:rPr>
          <w:color w:val="0D0D0D"/>
          <w:sz w:val="28"/>
          <w:szCs w:val="28"/>
          <w:lang w:val="pt-BR"/>
        </w:rPr>
        <w:t>niên vụ 2018</w:t>
      </w:r>
      <w:r w:rsidRPr="00421FC4">
        <w:rPr>
          <w:color w:val="0D0D0D"/>
          <w:sz w:val="28"/>
          <w:szCs w:val="28"/>
          <w:lang w:val="pt-BR"/>
        </w:rPr>
        <w:t>-201</w:t>
      </w:r>
      <w:r>
        <w:rPr>
          <w:color w:val="0D0D0D"/>
          <w:sz w:val="28"/>
          <w:szCs w:val="28"/>
          <w:lang w:val="pt-BR"/>
        </w:rPr>
        <w:t>9</w:t>
      </w:r>
      <w:r w:rsidRPr="00421FC4">
        <w:rPr>
          <w:color w:val="0D0D0D"/>
          <w:sz w:val="28"/>
          <w:szCs w:val="28"/>
          <w:lang w:val="pt-BR"/>
        </w:rPr>
        <w:t xml:space="preserve">, cà phê Đắk Lắk xuất khẩu </w:t>
      </w:r>
      <w:r>
        <w:rPr>
          <w:color w:val="0D0D0D"/>
          <w:sz w:val="28"/>
          <w:szCs w:val="28"/>
          <w:lang w:val="pt-BR"/>
        </w:rPr>
        <w:t>đến 58</w:t>
      </w:r>
      <w:r w:rsidRPr="00421FC4">
        <w:rPr>
          <w:color w:val="0D0D0D"/>
          <w:sz w:val="28"/>
          <w:szCs w:val="28"/>
          <w:lang w:val="pt-BR"/>
        </w:rPr>
        <w:t xml:space="preserve"> thị trường,</w:t>
      </w:r>
      <w:r>
        <w:rPr>
          <w:color w:val="0D0D0D"/>
          <w:sz w:val="28"/>
          <w:szCs w:val="28"/>
          <w:lang w:val="pt-BR"/>
        </w:rPr>
        <w:t xml:space="preserve"> trong đó thị trường Nhật Bản tiếp tục là thị trường lớn nhất của cà phê Đắk Lắk với kim ngạch 40,81 triệu USD (nhưng so với niên vụ trước thị trường này đã giảm tới 33,5% về kim ngạch), tiếp sau là thị trường Đức với kim ngạch 29,355 triệu USD... </w:t>
      </w:r>
      <w:r w:rsidRPr="00421FC4">
        <w:rPr>
          <w:color w:val="0D0D0D"/>
          <w:sz w:val="28"/>
          <w:szCs w:val="28"/>
          <w:lang w:val="pt-BR"/>
        </w:rPr>
        <w:t xml:space="preserve">Có </w:t>
      </w:r>
      <w:r>
        <w:rPr>
          <w:color w:val="0D0D0D"/>
          <w:sz w:val="28"/>
          <w:szCs w:val="28"/>
          <w:lang w:val="pt-BR"/>
        </w:rPr>
        <w:t>30</w:t>
      </w:r>
      <w:r w:rsidRPr="00421FC4">
        <w:rPr>
          <w:color w:val="0D0D0D"/>
          <w:sz w:val="28"/>
          <w:szCs w:val="28"/>
          <w:lang w:val="pt-BR"/>
        </w:rPr>
        <w:t xml:space="preserve"> thị trường đạt kim ngạch trên </w:t>
      </w:r>
      <w:r>
        <w:rPr>
          <w:color w:val="0D0D0D"/>
          <w:sz w:val="28"/>
          <w:szCs w:val="28"/>
          <w:lang w:val="pt-BR"/>
        </w:rPr>
        <w:t>0</w:t>
      </w:r>
      <w:r w:rsidRPr="00421FC4">
        <w:rPr>
          <w:color w:val="0D0D0D"/>
          <w:sz w:val="28"/>
          <w:szCs w:val="28"/>
          <w:lang w:val="pt-BR"/>
        </w:rPr>
        <w:t xml:space="preserve">1 triệu USD, trong đó có </w:t>
      </w:r>
      <w:r>
        <w:rPr>
          <w:color w:val="0D0D0D"/>
          <w:sz w:val="28"/>
          <w:szCs w:val="28"/>
          <w:lang w:val="pt-BR"/>
        </w:rPr>
        <w:t>11</w:t>
      </w:r>
      <w:r w:rsidRPr="00421FC4">
        <w:rPr>
          <w:color w:val="0D0D0D"/>
          <w:sz w:val="28"/>
          <w:szCs w:val="28"/>
          <w:lang w:val="pt-BR"/>
        </w:rPr>
        <w:t xml:space="preserve"> thị trường đạt kim ngạch trên 10 triệu USD.</w:t>
      </w:r>
    </w:p>
    <w:p w:rsidR="000A4C29" w:rsidRPr="00421FC4" w:rsidRDefault="000A4C29" w:rsidP="00D94329">
      <w:pPr>
        <w:spacing w:before="120" w:after="120"/>
        <w:ind w:firstLine="720"/>
        <w:jc w:val="both"/>
        <w:rPr>
          <w:color w:val="FF0000"/>
          <w:sz w:val="28"/>
          <w:szCs w:val="28"/>
          <w:lang w:val="pt-BR"/>
        </w:rPr>
      </w:pPr>
      <w:r>
        <w:rPr>
          <w:color w:val="0D0D0D"/>
          <w:sz w:val="28"/>
          <w:szCs w:val="28"/>
          <w:lang w:val="pt-BR"/>
        </w:rPr>
        <w:t>Đối với cà phê hòa tan, hiện nay mới chỉ xuất khẩu đến 12 thị trường, trong đó Israel và Ấn Độ là 2 thị trường lớn nhất với kim ngạch lần lượt đạt 9,157 triệu USD và 6,868 triệu USD.</w:t>
      </w:r>
    </w:p>
    <w:p w:rsidR="000A4C29" w:rsidRDefault="000A4C29" w:rsidP="00D94329">
      <w:pPr>
        <w:spacing w:before="120" w:after="120"/>
        <w:ind w:firstLine="720"/>
        <w:jc w:val="both"/>
        <w:rPr>
          <w:color w:val="0D0D0D"/>
          <w:sz w:val="28"/>
          <w:szCs w:val="28"/>
          <w:lang w:val="pt-BR"/>
        </w:rPr>
      </w:pPr>
      <w:r w:rsidRPr="00421FC4">
        <w:rPr>
          <w:color w:val="0D0D0D"/>
          <w:sz w:val="28"/>
          <w:szCs w:val="28"/>
          <w:lang w:val="pt-BR"/>
        </w:rPr>
        <w:t>Nhìn chung cà phê Đắk Lắk vẫn tập trung xuất khẩu sang các thị trường truyền thống lâu nay như Đức, Mỹ, Nhật Bản, Italia…</w:t>
      </w:r>
      <w:r>
        <w:rPr>
          <w:color w:val="0D0D0D"/>
          <w:sz w:val="28"/>
          <w:szCs w:val="28"/>
          <w:lang w:val="pt-BR"/>
        </w:rPr>
        <w:t>nhưng đã có sự sụt giảm đáng kể. Thị trường Mỹ, Nga, Hàn Quốc trong niên vụ 2018-2019 đều đã rơi khỏi top 10 thị trường lớn nhất. Trong đó so với niên vụ 2017-2018, thị trường Mỹ giảm từ 22,69 triệu USD xuống còn 8,991 triệu USD; thị trường Nga giảm từ 15,517 triệu USD xuống chỉ còn 5,215 triệu USD. Ngoài ra do tình hình bất ổn tại khu vực Trung Đông nên lượng cà phê xuất khẩu qua khu vực này giảm so với các niên vụ trước.</w:t>
      </w:r>
    </w:p>
    <w:p w:rsidR="000A4C29" w:rsidRPr="009F0365" w:rsidRDefault="000A4C29" w:rsidP="00D94329">
      <w:pPr>
        <w:pStyle w:val="BodyText"/>
        <w:spacing w:before="80" w:after="80"/>
        <w:jc w:val="center"/>
        <w:rPr>
          <w:i/>
          <w:iCs/>
          <w:color w:val="0D0D0D"/>
          <w:sz w:val="28"/>
          <w:szCs w:val="28"/>
          <w:lang w:val="pt-BR"/>
        </w:rPr>
      </w:pPr>
      <w:r w:rsidRPr="009F0365">
        <w:rPr>
          <w:i/>
          <w:iCs/>
          <w:color w:val="0D0D0D"/>
          <w:sz w:val="28"/>
          <w:szCs w:val="28"/>
          <w:lang w:val="pt-BR"/>
        </w:rPr>
        <w:t>Top 10 thị trường có kim ngạch x</w:t>
      </w:r>
      <w:r>
        <w:rPr>
          <w:i/>
          <w:iCs/>
          <w:color w:val="0D0D0D"/>
          <w:sz w:val="28"/>
          <w:szCs w:val="28"/>
          <w:lang w:val="pt-BR"/>
        </w:rPr>
        <w:t>uất khẩu lớn</w:t>
      </w:r>
      <w:r w:rsidRPr="009F0365">
        <w:rPr>
          <w:i/>
          <w:iCs/>
          <w:color w:val="0D0D0D"/>
          <w:sz w:val="28"/>
          <w:szCs w:val="28"/>
          <w:lang w:val="pt-BR"/>
        </w:rPr>
        <w:t xml:space="preserve"> nhất niên vụ 2018-2019 </w:t>
      </w:r>
    </w:p>
    <w:tbl>
      <w:tblPr>
        <w:tblW w:w="90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6"/>
        <w:gridCol w:w="3757"/>
        <w:gridCol w:w="2268"/>
        <w:gridCol w:w="2268"/>
      </w:tblGrid>
      <w:tr w:rsidR="000A4C29" w:rsidRPr="00D6501C">
        <w:trPr>
          <w:trHeight w:val="488"/>
        </w:trPr>
        <w:tc>
          <w:tcPr>
            <w:tcW w:w="746" w:type="dxa"/>
            <w:vMerge w:val="restart"/>
            <w:vAlign w:val="center"/>
          </w:tcPr>
          <w:p w:rsidR="000A4C29" w:rsidRPr="00421FC4" w:rsidRDefault="000A4C29" w:rsidP="00F34EFB">
            <w:pPr>
              <w:pStyle w:val="BodyText"/>
              <w:spacing w:before="40" w:after="40"/>
              <w:jc w:val="center"/>
              <w:rPr>
                <w:b/>
                <w:bCs/>
                <w:color w:val="0D0D0D"/>
                <w:sz w:val="28"/>
                <w:szCs w:val="28"/>
              </w:rPr>
            </w:pPr>
            <w:r w:rsidRPr="00421FC4">
              <w:rPr>
                <w:b/>
                <w:bCs/>
                <w:color w:val="0D0D0D"/>
                <w:sz w:val="28"/>
                <w:szCs w:val="28"/>
              </w:rPr>
              <w:t>STT</w:t>
            </w:r>
          </w:p>
        </w:tc>
        <w:tc>
          <w:tcPr>
            <w:tcW w:w="3757" w:type="dxa"/>
            <w:vMerge w:val="restart"/>
            <w:vAlign w:val="center"/>
          </w:tcPr>
          <w:p w:rsidR="000A4C29" w:rsidRPr="00421FC4" w:rsidRDefault="000A4C29" w:rsidP="00F34EFB">
            <w:pPr>
              <w:pStyle w:val="BodyText"/>
              <w:spacing w:before="40" w:after="40"/>
              <w:jc w:val="center"/>
              <w:rPr>
                <w:b/>
                <w:bCs/>
                <w:color w:val="0D0D0D"/>
                <w:sz w:val="28"/>
                <w:szCs w:val="28"/>
              </w:rPr>
            </w:pPr>
            <w:r w:rsidRPr="00421FC4">
              <w:rPr>
                <w:b/>
                <w:bCs/>
                <w:color w:val="0D0D0D"/>
                <w:sz w:val="28"/>
                <w:szCs w:val="28"/>
              </w:rPr>
              <w:t>Thị trường</w:t>
            </w:r>
          </w:p>
        </w:tc>
        <w:tc>
          <w:tcPr>
            <w:tcW w:w="4536" w:type="dxa"/>
            <w:gridSpan w:val="2"/>
            <w:vAlign w:val="center"/>
          </w:tcPr>
          <w:p w:rsidR="000A4C29" w:rsidRPr="00421FC4" w:rsidRDefault="000A4C29" w:rsidP="00F34EFB">
            <w:pPr>
              <w:pStyle w:val="BodyText"/>
              <w:spacing w:before="40" w:after="40"/>
              <w:jc w:val="center"/>
              <w:rPr>
                <w:b/>
                <w:bCs/>
                <w:color w:val="0D0D0D"/>
                <w:sz w:val="28"/>
                <w:szCs w:val="28"/>
              </w:rPr>
            </w:pPr>
            <w:r w:rsidRPr="00421FC4">
              <w:rPr>
                <w:b/>
                <w:bCs/>
                <w:color w:val="0D0D0D"/>
                <w:sz w:val="28"/>
                <w:szCs w:val="28"/>
              </w:rPr>
              <w:t xml:space="preserve">Niên vụ </w:t>
            </w:r>
            <w:r>
              <w:rPr>
                <w:b/>
                <w:bCs/>
                <w:color w:val="0D0D0D"/>
                <w:sz w:val="28"/>
                <w:szCs w:val="28"/>
              </w:rPr>
              <w:t>2018</w:t>
            </w:r>
            <w:r w:rsidRPr="00421FC4">
              <w:rPr>
                <w:b/>
                <w:bCs/>
                <w:color w:val="0D0D0D"/>
                <w:sz w:val="28"/>
                <w:szCs w:val="28"/>
              </w:rPr>
              <w:t>-201</w:t>
            </w:r>
            <w:r>
              <w:rPr>
                <w:b/>
                <w:bCs/>
                <w:color w:val="0D0D0D"/>
                <w:sz w:val="28"/>
                <w:szCs w:val="28"/>
              </w:rPr>
              <w:t>9</w:t>
            </w:r>
          </w:p>
        </w:tc>
      </w:tr>
      <w:tr w:rsidR="000A4C29" w:rsidRPr="00D6501C">
        <w:trPr>
          <w:trHeight w:val="833"/>
        </w:trPr>
        <w:tc>
          <w:tcPr>
            <w:tcW w:w="746" w:type="dxa"/>
            <w:vMerge/>
          </w:tcPr>
          <w:p w:rsidR="000A4C29" w:rsidRPr="00421FC4" w:rsidRDefault="000A4C29" w:rsidP="00F34EFB">
            <w:pPr>
              <w:pStyle w:val="BodyText"/>
              <w:spacing w:before="40" w:after="40"/>
              <w:jc w:val="center"/>
              <w:rPr>
                <w:b/>
                <w:bCs/>
                <w:color w:val="0D0D0D"/>
                <w:sz w:val="28"/>
                <w:szCs w:val="28"/>
              </w:rPr>
            </w:pPr>
          </w:p>
        </w:tc>
        <w:tc>
          <w:tcPr>
            <w:tcW w:w="3757" w:type="dxa"/>
            <w:vMerge/>
          </w:tcPr>
          <w:p w:rsidR="000A4C29" w:rsidRPr="00421FC4" w:rsidRDefault="000A4C29" w:rsidP="00F34EFB">
            <w:pPr>
              <w:pStyle w:val="BodyText"/>
              <w:spacing w:before="40" w:after="40"/>
              <w:jc w:val="center"/>
              <w:rPr>
                <w:b/>
                <w:bCs/>
                <w:color w:val="0D0D0D"/>
                <w:sz w:val="28"/>
                <w:szCs w:val="28"/>
              </w:rPr>
            </w:pPr>
          </w:p>
        </w:tc>
        <w:tc>
          <w:tcPr>
            <w:tcW w:w="2268" w:type="dxa"/>
            <w:vAlign w:val="center"/>
          </w:tcPr>
          <w:p w:rsidR="000A4C29" w:rsidRPr="00421FC4" w:rsidRDefault="000A4C29" w:rsidP="00F34EFB">
            <w:pPr>
              <w:pStyle w:val="BodyText"/>
              <w:spacing w:before="40" w:after="40"/>
              <w:jc w:val="center"/>
              <w:rPr>
                <w:b/>
                <w:bCs/>
                <w:color w:val="0D0D0D"/>
                <w:sz w:val="28"/>
                <w:szCs w:val="28"/>
              </w:rPr>
            </w:pPr>
            <w:r w:rsidRPr="00421FC4">
              <w:rPr>
                <w:b/>
                <w:bCs/>
                <w:color w:val="0D0D0D"/>
                <w:sz w:val="28"/>
                <w:szCs w:val="28"/>
              </w:rPr>
              <w:t>Số lượng (Tấn)</w:t>
            </w:r>
          </w:p>
        </w:tc>
        <w:tc>
          <w:tcPr>
            <w:tcW w:w="2268" w:type="dxa"/>
            <w:vAlign w:val="center"/>
          </w:tcPr>
          <w:p w:rsidR="000A4C29" w:rsidRPr="00421FC4" w:rsidRDefault="000A4C29" w:rsidP="00F34EFB">
            <w:pPr>
              <w:pStyle w:val="BodyText"/>
              <w:spacing w:before="40" w:after="40"/>
              <w:jc w:val="center"/>
              <w:rPr>
                <w:b/>
                <w:bCs/>
                <w:color w:val="0D0D0D"/>
                <w:sz w:val="28"/>
                <w:szCs w:val="28"/>
              </w:rPr>
            </w:pPr>
            <w:r w:rsidRPr="00421FC4">
              <w:rPr>
                <w:b/>
                <w:bCs/>
                <w:color w:val="0D0D0D"/>
                <w:sz w:val="28"/>
                <w:szCs w:val="28"/>
              </w:rPr>
              <w:t>Kim ngạch (1.000 USD)</w:t>
            </w:r>
          </w:p>
        </w:tc>
      </w:tr>
      <w:tr w:rsidR="000A4C29" w:rsidRPr="00D6501C">
        <w:trPr>
          <w:trHeight w:val="429"/>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1</w:t>
            </w:r>
          </w:p>
        </w:tc>
        <w:tc>
          <w:tcPr>
            <w:tcW w:w="3757" w:type="dxa"/>
            <w:vAlign w:val="center"/>
          </w:tcPr>
          <w:p w:rsidR="000A4C29" w:rsidRPr="00421FC4" w:rsidRDefault="000A4C29" w:rsidP="00FC0AA2">
            <w:pPr>
              <w:pStyle w:val="BodyText"/>
              <w:spacing w:before="40" w:after="40"/>
              <w:jc w:val="left"/>
              <w:rPr>
                <w:color w:val="0D0D0D"/>
                <w:sz w:val="28"/>
                <w:szCs w:val="28"/>
              </w:rPr>
            </w:pPr>
            <w:r w:rsidRPr="00421FC4">
              <w:rPr>
                <w:color w:val="0D0D0D"/>
                <w:sz w:val="28"/>
                <w:szCs w:val="28"/>
              </w:rPr>
              <w:t>Nhật Bản</w:t>
            </w:r>
            <w:r>
              <w:rPr>
                <w:color w:val="0D0D0D"/>
                <w:sz w:val="28"/>
                <w:szCs w:val="28"/>
              </w:rPr>
              <w:t xml:space="preserve"> </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25.416</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40.810</w:t>
            </w:r>
          </w:p>
        </w:tc>
      </w:tr>
      <w:tr w:rsidR="000A4C29" w:rsidRPr="00D6501C">
        <w:trPr>
          <w:trHeight w:val="454"/>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2</w:t>
            </w:r>
          </w:p>
        </w:tc>
        <w:tc>
          <w:tcPr>
            <w:tcW w:w="3757" w:type="dxa"/>
            <w:vAlign w:val="center"/>
          </w:tcPr>
          <w:p w:rsidR="000A4C29" w:rsidRPr="00421FC4" w:rsidRDefault="000A4C29" w:rsidP="00FC0AA2">
            <w:pPr>
              <w:pStyle w:val="BodyText"/>
              <w:spacing w:before="40" w:after="40"/>
              <w:jc w:val="left"/>
              <w:rPr>
                <w:color w:val="0D0D0D"/>
                <w:sz w:val="28"/>
                <w:szCs w:val="28"/>
              </w:rPr>
            </w:pPr>
            <w:r>
              <w:rPr>
                <w:color w:val="0D0D0D"/>
                <w:sz w:val="28"/>
                <w:szCs w:val="28"/>
              </w:rPr>
              <w:t xml:space="preserve">Đức </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19.773</w:t>
            </w:r>
          </w:p>
        </w:tc>
        <w:tc>
          <w:tcPr>
            <w:tcW w:w="2268" w:type="dxa"/>
            <w:vAlign w:val="center"/>
          </w:tcPr>
          <w:p w:rsidR="000A4C29" w:rsidRPr="00421FC4" w:rsidRDefault="000A4C29" w:rsidP="00F34EFB">
            <w:pPr>
              <w:pStyle w:val="BodyText"/>
              <w:tabs>
                <w:tab w:val="center" w:pos="742"/>
                <w:tab w:val="right" w:pos="1485"/>
              </w:tabs>
              <w:spacing w:before="40" w:after="40"/>
              <w:jc w:val="right"/>
              <w:rPr>
                <w:color w:val="0D0D0D"/>
                <w:sz w:val="28"/>
                <w:szCs w:val="28"/>
              </w:rPr>
            </w:pPr>
            <w:r>
              <w:rPr>
                <w:color w:val="0D0D0D"/>
                <w:sz w:val="28"/>
                <w:szCs w:val="28"/>
              </w:rPr>
              <w:t>29.355</w:t>
            </w:r>
          </w:p>
        </w:tc>
      </w:tr>
      <w:tr w:rsidR="000A4C29" w:rsidRPr="00D6501C">
        <w:trPr>
          <w:trHeight w:val="454"/>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3</w:t>
            </w:r>
          </w:p>
        </w:tc>
        <w:tc>
          <w:tcPr>
            <w:tcW w:w="3757" w:type="dxa"/>
            <w:vAlign w:val="center"/>
          </w:tcPr>
          <w:p w:rsidR="000A4C29" w:rsidRPr="00421FC4" w:rsidRDefault="000A4C29" w:rsidP="00FC0AA2">
            <w:pPr>
              <w:pStyle w:val="BodyText"/>
              <w:spacing w:before="40" w:after="40"/>
              <w:jc w:val="left"/>
              <w:rPr>
                <w:color w:val="0D0D0D"/>
                <w:sz w:val="28"/>
                <w:szCs w:val="28"/>
              </w:rPr>
            </w:pPr>
            <w:r>
              <w:rPr>
                <w:color w:val="0D0D0D"/>
                <w:sz w:val="28"/>
                <w:szCs w:val="28"/>
              </w:rPr>
              <w:t xml:space="preserve">Thụy Sĩ </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17.571</w:t>
            </w:r>
          </w:p>
        </w:tc>
        <w:tc>
          <w:tcPr>
            <w:tcW w:w="2268" w:type="dxa"/>
            <w:vAlign w:val="center"/>
          </w:tcPr>
          <w:p w:rsidR="000A4C29" w:rsidRPr="00421FC4" w:rsidRDefault="000A4C29" w:rsidP="00F34EFB">
            <w:pPr>
              <w:pStyle w:val="BodyText"/>
              <w:tabs>
                <w:tab w:val="center" w:pos="742"/>
                <w:tab w:val="right" w:pos="1485"/>
              </w:tabs>
              <w:spacing w:before="40" w:after="40"/>
              <w:jc w:val="right"/>
              <w:rPr>
                <w:color w:val="0D0D0D"/>
                <w:sz w:val="28"/>
                <w:szCs w:val="28"/>
              </w:rPr>
            </w:pPr>
            <w:r>
              <w:rPr>
                <w:color w:val="0D0D0D"/>
                <w:sz w:val="28"/>
                <w:szCs w:val="28"/>
              </w:rPr>
              <w:t>27.954</w:t>
            </w:r>
          </w:p>
        </w:tc>
      </w:tr>
      <w:tr w:rsidR="000A4C29" w:rsidRPr="00D6501C">
        <w:trPr>
          <w:trHeight w:val="454"/>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4</w:t>
            </w:r>
          </w:p>
        </w:tc>
        <w:tc>
          <w:tcPr>
            <w:tcW w:w="3757" w:type="dxa"/>
            <w:vAlign w:val="center"/>
          </w:tcPr>
          <w:p w:rsidR="000A4C29" w:rsidRPr="00421FC4" w:rsidRDefault="000A4C29" w:rsidP="00FC0AA2">
            <w:pPr>
              <w:pStyle w:val="BodyText"/>
              <w:spacing w:before="40" w:after="40"/>
              <w:jc w:val="left"/>
              <w:rPr>
                <w:color w:val="0D0D0D"/>
                <w:sz w:val="28"/>
                <w:szCs w:val="28"/>
              </w:rPr>
            </w:pPr>
            <w:r>
              <w:rPr>
                <w:color w:val="0D0D0D"/>
                <w:sz w:val="28"/>
                <w:szCs w:val="28"/>
              </w:rPr>
              <w:t xml:space="preserve">Italia </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10.876</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19.320</w:t>
            </w:r>
          </w:p>
        </w:tc>
      </w:tr>
      <w:tr w:rsidR="000A4C29" w:rsidRPr="00D6501C">
        <w:trPr>
          <w:trHeight w:val="454"/>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5</w:t>
            </w:r>
          </w:p>
        </w:tc>
        <w:tc>
          <w:tcPr>
            <w:tcW w:w="3757" w:type="dxa"/>
            <w:vAlign w:val="center"/>
          </w:tcPr>
          <w:p w:rsidR="000A4C29" w:rsidRPr="00421FC4" w:rsidRDefault="000A4C29" w:rsidP="00FC0AA2">
            <w:pPr>
              <w:pStyle w:val="BodyText"/>
              <w:spacing w:before="40" w:after="40"/>
              <w:jc w:val="left"/>
              <w:rPr>
                <w:color w:val="0D0D0D"/>
                <w:sz w:val="28"/>
                <w:szCs w:val="28"/>
              </w:rPr>
            </w:pPr>
            <w:r>
              <w:rPr>
                <w:color w:val="0D0D0D"/>
                <w:sz w:val="28"/>
                <w:szCs w:val="28"/>
              </w:rPr>
              <w:t xml:space="preserve">Tây Ban Nha </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11.210</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16.949</w:t>
            </w:r>
          </w:p>
        </w:tc>
      </w:tr>
      <w:tr w:rsidR="000A4C29" w:rsidRPr="00D6501C">
        <w:trPr>
          <w:trHeight w:val="454"/>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6</w:t>
            </w:r>
          </w:p>
        </w:tc>
        <w:tc>
          <w:tcPr>
            <w:tcW w:w="3757" w:type="dxa"/>
            <w:vAlign w:val="center"/>
          </w:tcPr>
          <w:p w:rsidR="000A4C29" w:rsidRPr="00421FC4" w:rsidRDefault="000A4C29" w:rsidP="00FC0AA2">
            <w:pPr>
              <w:pStyle w:val="BodyText"/>
              <w:spacing w:before="40" w:after="40"/>
              <w:jc w:val="left"/>
              <w:rPr>
                <w:color w:val="0D0D0D"/>
                <w:sz w:val="28"/>
                <w:szCs w:val="28"/>
              </w:rPr>
            </w:pPr>
            <w:r>
              <w:rPr>
                <w:color w:val="0D0D0D"/>
                <w:sz w:val="28"/>
                <w:szCs w:val="28"/>
              </w:rPr>
              <w:t>Ấn Độ</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8.238</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16.708</w:t>
            </w:r>
          </w:p>
        </w:tc>
      </w:tr>
      <w:tr w:rsidR="000A4C29" w:rsidRPr="00D6501C">
        <w:trPr>
          <w:trHeight w:val="454"/>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7</w:t>
            </w:r>
          </w:p>
        </w:tc>
        <w:tc>
          <w:tcPr>
            <w:tcW w:w="3757" w:type="dxa"/>
            <w:vAlign w:val="center"/>
          </w:tcPr>
          <w:p w:rsidR="000A4C29" w:rsidRPr="00421FC4" w:rsidRDefault="000A4C29" w:rsidP="00FC0AA2">
            <w:pPr>
              <w:pStyle w:val="BodyText"/>
              <w:spacing w:before="40" w:after="40"/>
              <w:jc w:val="left"/>
              <w:rPr>
                <w:color w:val="0D0D0D"/>
                <w:sz w:val="28"/>
                <w:szCs w:val="28"/>
              </w:rPr>
            </w:pPr>
            <w:r>
              <w:rPr>
                <w:color w:val="0D0D0D"/>
                <w:sz w:val="28"/>
                <w:szCs w:val="28"/>
              </w:rPr>
              <w:t xml:space="preserve">Indonesia </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8.275</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13.067</w:t>
            </w:r>
          </w:p>
        </w:tc>
      </w:tr>
      <w:tr w:rsidR="000A4C29" w:rsidRPr="00D6501C">
        <w:trPr>
          <w:trHeight w:val="454"/>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8</w:t>
            </w:r>
          </w:p>
        </w:tc>
        <w:tc>
          <w:tcPr>
            <w:tcW w:w="3757" w:type="dxa"/>
            <w:vAlign w:val="center"/>
          </w:tcPr>
          <w:p w:rsidR="000A4C29" w:rsidRPr="00421FC4" w:rsidRDefault="000A4C29" w:rsidP="00FC0AA2">
            <w:pPr>
              <w:pStyle w:val="BodyText"/>
              <w:spacing w:before="40" w:after="40"/>
              <w:jc w:val="left"/>
              <w:rPr>
                <w:color w:val="0D0D0D"/>
                <w:sz w:val="28"/>
                <w:szCs w:val="28"/>
              </w:rPr>
            </w:pPr>
            <w:r>
              <w:rPr>
                <w:color w:val="0D0D0D"/>
                <w:sz w:val="28"/>
                <w:szCs w:val="28"/>
              </w:rPr>
              <w:t xml:space="preserve">Algeria </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7.028</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11.618</w:t>
            </w:r>
          </w:p>
        </w:tc>
      </w:tr>
      <w:tr w:rsidR="000A4C29" w:rsidRPr="00D6501C">
        <w:trPr>
          <w:trHeight w:val="454"/>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9</w:t>
            </w:r>
          </w:p>
        </w:tc>
        <w:tc>
          <w:tcPr>
            <w:tcW w:w="3757" w:type="dxa"/>
            <w:vAlign w:val="center"/>
          </w:tcPr>
          <w:p w:rsidR="000A4C29" w:rsidRPr="00421FC4" w:rsidRDefault="000A4C29" w:rsidP="00FC0AA2">
            <w:pPr>
              <w:pStyle w:val="BodyText"/>
              <w:spacing w:before="40" w:after="40"/>
              <w:jc w:val="left"/>
              <w:rPr>
                <w:color w:val="0D0D0D"/>
                <w:sz w:val="28"/>
                <w:szCs w:val="28"/>
              </w:rPr>
            </w:pPr>
            <w:r>
              <w:rPr>
                <w:color w:val="0D0D0D"/>
                <w:sz w:val="28"/>
                <w:szCs w:val="28"/>
              </w:rPr>
              <w:t xml:space="preserve">Malaysia </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7.049</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10.832</w:t>
            </w:r>
          </w:p>
        </w:tc>
      </w:tr>
      <w:tr w:rsidR="000A4C29" w:rsidRPr="00D6501C">
        <w:trPr>
          <w:trHeight w:val="454"/>
        </w:trPr>
        <w:tc>
          <w:tcPr>
            <w:tcW w:w="746" w:type="dxa"/>
            <w:vAlign w:val="center"/>
          </w:tcPr>
          <w:p w:rsidR="000A4C29" w:rsidRPr="00421FC4" w:rsidRDefault="000A4C29" w:rsidP="00F34EFB">
            <w:pPr>
              <w:pStyle w:val="BodyText"/>
              <w:spacing w:before="40" w:after="40"/>
              <w:jc w:val="center"/>
              <w:rPr>
                <w:color w:val="0D0D0D"/>
                <w:sz w:val="28"/>
                <w:szCs w:val="28"/>
              </w:rPr>
            </w:pPr>
            <w:r w:rsidRPr="00421FC4">
              <w:rPr>
                <w:color w:val="0D0D0D"/>
                <w:sz w:val="28"/>
                <w:szCs w:val="28"/>
              </w:rPr>
              <w:t>10</w:t>
            </w:r>
          </w:p>
        </w:tc>
        <w:tc>
          <w:tcPr>
            <w:tcW w:w="3757" w:type="dxa"/>
            <w:vAlign w:val="center"/>
          </w:tcPr>
          <w:p w:rsidR="000A4C29" w:rsidRPr="00421FC4" w:rsidRDefault="000A4C29" w:rsidP="00FC0AA2">
            <w:pPr>
              <w:pStyle w:val="BodyText"/>
              <w:spacing w:before="40" w:after="40"/>
              <w:jc w:val="left"/>
              <w:rPr>
                <w:color w:val="0D0D0D"/>
                <w:sz w:val="28"/>
                <w:szCs w:val="28"/>
              </w:rPr>
            </w:pPr>
            <w:r>
              <w:rPr>
                <w:color w:val="0D0D0D"/>
                <w:sz w:val="28"/>
                <w:szCs w:val="28"/>
              </w:rPr>
              <w:t xml:space="preserve">Bỉ </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6.461</w:t>
            </w:r>
          </w:p>
        </w:tc>
        <w:tc>
          <w:tcPr>
            <w:tcW w:w="2268" w:type="dxa"/>
            <w:vAlign w:val="center"/>
          </w:tcPr>
          <w:p w:rsidR="000A4C29" w:rsidRPr="00421FC4" w:rsidRDefault="000A4C29" w:rsidP="00F34EFB">
            <w:pPr>
              <w:pStyle w:val="BodyText"/>
              <w:spacing w:before="40" w:after="40"/>
              <w:jc w:val="right"/>
              <w:rPr>
                <w:color w:val="0D0D0D"/>
                <w:sz w:val="28"/>
                <w:szCs w:val="28"/>
              </w:rPr>
            </w:pPr>
            <w:r>
              <w:rPr>
                <w:color w:val="0D0D0D"/>
                <w:sz w:val="28"/>
                <w:szCs w:val="28"/>
              </w:rPr>
              <w:t>10.252</w:t>
            </w:r>
          </w:p>
        </w:tc>
      </w:tr>
      <w:tr w:rsidR="000A4C29" w:rsidRPr="00D6501C">
        <w:trPr>
          <w:trHeight w:val="370"/>
        </w:trPr>
        <w:tc>
          <w:tcPr>
            <w:tcW w:w="4503" w:type="dxa"/>
            <w:gridSpan w:val="2"/>
            <w:vAlign w:val="center"/>
          </w:tcPr>
          <w:p w:rsidR="000A4C29" w:rsidRPr="00421FC4" w:rsidRDefault="000A4C29" w:rsidP="00F34EFB">
            <w:pPr>
              <w:pStyle w:val="BodyText"/>
              <w:spacing w:before="40" w:after="40"/>
              <w:jc w:val="center"/>
              <w:rPr>
                <w:b/>
                <w:bCs/>
                <w:color w:val="0D0D0D"/>
                <w:sz w:val="28"/>
                <w:szCs w:val="28"/>
              </w:rPr>
            </w:pPr>
            <w:r w:rsidRPr="00421FC4">
              <w:rPr>
                <w:b/>
                <w:bCs/>
                <w:color w:val="0D0D0D"/>
                <w:sz w:val="28"/>
                <w:szCs w:val="28"/>
              </w:rPr>
              <w:t>Tổng cộng</w:t>
            </w:r>
          </w:p>
        </w:tc>
        <w:tc>
          <w:tcPr>
            <w:tcW w:w="2268" w:type="dxa"/>
            <w:vAlign w:val="center"/>
          </w:tcPr>
          <w:p w:rsidR="000A4C29" w:rsidRPr="00421FC4" w:rsidRDefault="000A4C29" w:rsidP="00F34EFB">
            <w:pPr>
              <w:pStyle w:val="BodyText"/>
              <w:spacing w:before="40" w:after="40"/>
              <w:jc w:val="right"/>
              <w:rPr>
                <w:b/>
                <w:bCs/>
                <w:color w:val="0D0D0D"/>
                <w:sz w:val="28"/>
                <w:szCs w:val="28"/>
              </w:rPr>
            </w:pPr>
            <w:r>
              <w:rPr>
                <w:b/>
                <w:bCs/>
                <w:color w:val="0D0D0D"/>
                <w:sz w:val="28"/>
                <w:szCs w:val="28"/>
              </w:rPr>
              <w:t>121.897</w:t>
            </w:r>
          </w:p>
        </w:tc>
        <w:tc>
          <w:tcPr>
            <w:tcW w:w="2268" w:type="dxa"/>
            <w:vAlign w:val="center"/>
          </w:tcPr>
          <w:p w:rsidR="000A4C29" w:rsidRPr="00421FC4" w:rsidRDefault="000A4C29" w:rsidP="00F34EFB">
            <w:pPr>
              <w:pStyle w:val="BodyText"/>
              <w:spacing w:before="40" w:after="40"/>
              <w:jc w:val="right"/>
              <w:rPr>
                <w:b/>
                <w:bCs/>
                <w:color w:val="0D0D0D"/>
                <w:sz w:val="28"/>
                <w:szCs w:val="28"/>
              </w:rPr>
            </w:pPr>
            <w:r>
              <w:rPr>
                <w:b/>
                <w:bCs/>
                <w:color w:val="0D0D0D"/>
                <w:sz w:val="28"/>
                <w:szCs w:val="28"/>
              </w:rPr>
              <w:t>196.865</w:t>
            </w:r>
          </w:p>
        </w:tc>
      </w:tr>
    </w:tbl>
    <w:p w:rsidR="000A4C29" w:rsidRDefault="000A4C29" w:rsidP="00421FC4">
      <w:pPr>
        <w:pStyle w:val="BodyTextIndent"/>
        <w:tabs>
          <w:tab w:val="right" w:pos="0"/>
        </w:tabs>
        <w:spacing w:before="120" w:after="120"/>
        <w:ind w:firstLine="0"/>
        <w:rPr>
          <w:b/>
          <w:bCs/>
          <w:color w:val="auto"/>
          <w:sz w:val="28"/>
          <w:szCs w:val="28"/>
        </w:rPr>
      </w:pPr>
      <w:r w:rsidRPr="00233379">
        <w:rPr>
          <w:b/>
          <w:bCs/>
          <w:sz w:val="27"/>
          <w:szCs w:val="27"/>
        </w:rPr>
        <w:tab/>
      </w:r>
      <w:r w:rsidRPr="00233379">
        <w:rPr>
          <w:b/>
          <w:bCs/>
          <w:color w:val="auto"/>
          <w:sz w:val="28"/>
          <w:szCs w:val="28"/>
        </w:rPr>
        <w:t xml:space="preserve">III. Tình hình cấp quyền sử dụng chỉ dẫn địa lý và bảo hộ thương hiệu cà phê Buôn Ma Thuột: </w:t>
      </w:r>
    </w:p>
    <w:p w:rsidR="000A4C29" w:rsidRPr="00233379" w:rsidRDefault="000A4C29" w:rsidP="00233379">
      <w:pPr>
        <w:spacing w:before="120" w:after="120"/>
        <w:ind w:firstLine="720"/>
        <w:jc w:val="both"/>
        <w:rPr>
          <w:b/>
          <w:bCs/>
          <w:sz w:val="28"/>
          <w:szCs w:val="28"/>
        </w:rPr>
      </w:pPr>
      <w:r>
        <w:rPr>
          <w:b/>
          <w:bCs/>
          <w:sz w:val="28"/>
          <w:szCs w:val="28"/>
        </w:rPr>
        <w:t>1</w:t>
      </w:r>
      <w:r w:rsidRPr="00233379">
        <w:rPr>
          <w:b/>
          <w:bCs/>
          <w:sz w:val="28"/>
          <w:szCs w:val="28"/>
        </w:rPr>
        <w:t xml:space="preserve">. </w:t>
      </w:r>
      <w:r>
        <w:rPr>
          <w:b/>
          <w:bCs/>
          <w:sz w:val="28"/>
          <w:szCs w:val="28"/>
        </w:rPr>
        <w:t>T</w:t>
      </w:r>
      <w:r w:rsidRPr="00233379">
        <w:rPr>
          <w:b/>
          <w:bCs/>
          <w:sz w:val="28"/>
          <w:szCs w:val="28"/>
        </w:rPr>
        <w:t>hông tin chung</w:t>
      </w:r>
    </w:p>
    <w:p w:rsidR="000A4C29" w:rsidRPr="00233379" w:rsidRDefault="000A4C29" w:rsidP="00233379">
      <w:pPr>
        <w:spacing w:before="120" w:after="120"/>
        <w:ind w:firstLine="720"/>
        <w:jc w:val="both"/>
        <w:rPr>
          <w:sz w:val="28"/>
          <w:szCs w:val="28"/>
        </w:rPr>
      </w:pPr>
      <w:r w:rsidRPr="00233379">
        <w:rPr>
          <w:sz w:val="28"/>
          <w:szCs w:val="28"/>
        </w:rPr>
        <w:lastRenderedPageBreak/>
        <w:t xml:space="preserve">“Buôn Ma Thuột” sử dụng cho cà phê Robusta là tên được đăng bạ tên gọi xuất xứ hàng hóa (bây giờ gọi là Chỉ dẫn địa lý) tại Việt Nam theo Quyết định số 806/QĐ-SHTT ngày 14/10/2005. </w:t>
      </w:r>
    </w:p>
    <w:p w:rsidR="000A4C29" w:rsidRPr="00233379" w:rsidRDefault="000A4C29" w:rsidP="00233379">
      <w:pPr>
        <w:spacing w:before="120" w:after="120"/>
        <w:ind w:firstLine="720"/>
        <w:jc w:val="both"/>
        <w:rPr>
          <w:spacing w:val="-2"/>
          <w:sz w:val="28"/>
          <w:szCs w:val="28"/>
          <w:lang w:val="en-GB" w:eastAsia="de-DE"/>
        </w:rPr>
      </w:pPr>
      <w:r w:rsidRPr="00233379">
        <w:rPr>
          <w:spacing w:val="-2"/>
          <w:sz w:val="28"/>
          <w:szCs w:val="28"/>
        </w:rPr>
        <w:t xml:space="preserve">Khu vực chỉ dẫn địa lý cà phê Buôn Ma Thuột có tổng diện tích là </w:t>
      </w:r>
      <w:r w:rsidRPr="00233379">
        <w:rPr>
          <w:spacing w:val="-2"/>
          <w:sz w:val="28"/>
          <w:szCs w:val="28"/>
          <w:lang w:eastAsia="de-DE"/>
        </w:rPr>
        <w:t xml:space="preserve">107.505 </w:t>
      </w:r>
      <w:r w:rsidRPr="00233379">
        <w:rPr>
          <w:spacing w:val="-2"/>
          <w:sz w:val="28"/>
          <w:szCs w:val="28"/>
        </w:rPr>
        <w:t xml:space="preserve">ha, trên các huyện </w:t>
      </w:r>
      <w:r w:rsidRPr="00233379">
        <w:rPr>
          <w:spacing w:val="-2"/>
          <w:sz w:val="28"/>
          <w:szCs w:val="28"/>
          <w:lang w:val="en-GB" w:eastAsia="de-DE"/>
        </w:rPr>
        <w:t>Ea H’Leo, Krông Búk, thị xã Buôn Hồ, Krông Păk, Krông Ana, Cư Kuin, Cư M’gar, thành phố Buôn Ma Thuột và huyện Krông Năng.</w:t>
      </w:r>
    </w:p>
    <w:p w:rsidR="000A4C29" w:rsidRPr="00233379" w:rsidRDefault="000A4C29" w:rsidP="00233379">
      <w:pPr>
        <w:spacing w:before="120" w:after="120"/>
        <w:jc w:val="both"/>
        <w:rPr>
          <w:b/>
          <w:bCs/>
          <w:sz w:val="28"/>
          <w:szCs w:val="28"/>
        </w:rPr>
      </w:pPr>
      <w:r w:rsidRPr="00233379">
        <w:rPr>
          <w:b/>
          <w:bCs/>
          <w:sz w:val="28"/>
          <w:szCs w:val="28"/>
        </w:rPr>
        <w:tab/>
      </w:r>
      <w:r>
        <w:rPr>
          <w:b/>
          <w:bCs/>
          <w:sz w:val="28"/>
          <w:szCs w:val="28"/>
        </w:rPr>
        <w:t>2</w:t>
      </w:r>
      <w:r w:rsidRPr="00233379">
        <w:rPr>
          <w:b/>
          <w:bCs/>
          <w:sz w:val="28"/>
          <w:szCs w:val="28"/>
        </w:rPr>
        <w:t>. Cấp quyền sử dụng Chỉ dẫn địa lý</w:t>
      </w:r>
    </w:p>
    <w:p w:rsidR="000A4C29" w:rsidRPr="00233379" w:rsidRDefault="000A4C29" w:rsidP="000414AE">
      <w:pPr>
        <w:spacing w:before="120" w:after="120"/>
        <w:ind w:firstLine="720"/>
        <w:jc w:val="both"/>
        <w:rPr>
          <w:sz w:val="28"/>
          <w:szCs w:val="28"/>
        </w:rPr>
      </w:pPr>
      <w:r w:rsidRPr="00233379">
        <w:rPr>
          <w:sz w:val="28"/>
          <w:szCs w:val="28"/>
        </w:rPr>
        <w:t>Đến tháng 10/2019, Sở Khoa học và Công nghệ cấp Giấy chứng nhận quyền sử dụng Chỉ dẫn địa lý Buôn Ma Thuột đối với sản phẩm cà phê nhân Robusta cho 12 công ty, hợp tác xã với tổng diện tích 15.612,70 ha, sản lượng đăng ký 48.691 tấn/năm.</w:t>
      </w:r>
      <w:r>
        <w:rPr>
          <w:sz w:val="28"/>
          <w:szCs w:val="28"/>
        </w:rPr>
        <w:t xml:space="preserve"> </w:t>
      </w:r>
      <w:r w:rsidRPr="00233379">
        <w:rPr>
          <w:sz w:val="28"/>
          <w:szCs w:val="28"/>
        </w:rPr>
        <w:t>Trong năm 2019, Sở Khoa học và Công nghệ cấp Giấy chứng nhận quyền sử dụng Chỉ dẫn địa lý Buôn Ma Thuột (sửa đổi, bổ sung) cho 02 doanh nghiệp (</w:t>
      </w:r>
      <w:r w:rsidRPr="00233379">
        <w:rPr>
          <w:sz w:val="28"/>
          <w:szCs w:val="28"/>
          <w:lang w:val="sv-SE"/>
        </w:rPr>
        <w:t>Công ty cổ phần cà phê Ea Pốk, công ty cổ phần cà phê Phước An).</w:t>
      </w:r>
    </w:p>
    <w:p w:rsidR="000A4C29" w:rsidRDefault="000A4C29" w:rsidP="000414AE">
      <w:pPr>
        <w:tabs>
          <w:tab w:val="left" w:pos="540"/>
        </w:tabs>
        <w:spacing w:before="120" w:after="120"/>
        <w:jc w:val="both"/>
        <w:rPr>
          <w:sz w:val="28"/>
          <w:szCs w:val="28"/>
        </w:rPr>
      </w:pPr>
      <w:r>
        <w:rPr>
          <w:sz w:val="28"/>
          <w:szCs w:val="28"/>
        </w:rPr>
        <w:tab/>
      </w:r>
      <w:r>
        <w:rPr>
          <w:sz w:val="28"/>
          <w:szCs w:val="28"/>
        </w:rPr>
        <w:tab/>
        <w:t xml:space="preserve">Tính lũy kế từ năm 2013 đến năm 2018 thì cà phê nhân mang CDĐL Buôn Ma Thuột đã xuất khẩu được khoảng 22.200 tấn.  </w:t>
      </w:r>
    </w:p>
    <w:p w:rsidR="000A4C29" w:rsidRDefault="000A4C29" w:rsidP="000414AE">
      <w:pPr>
        <w:tabs>
          <w:tab w:val="left" w:pos="540"/>
        </w:tabs>
        <w:spacing w:before="120" w:after="120"/>
        <w:jc w:val="both"/>
        <w:rPr>
          <w:sz w:val="28"/>
          <w:szCs w:val="28"/>
        </w:rPr>
      </w:pPr>
      <w:r>
        <w:rPr>
          <w:sz w:val="28"/>
          <w:szCs w:val="28"/>
        </w:rPr>
        <w:tab/>
      </w:r>
      <w:r>
        <w:rPr>
          <w:sz w:val="28"/>
          <w:szCs w:val="28"/>
        </w:rPr>
        <w:tab/>
        <w:t xml:space="preserve">Năm 2017 và 2018 Công ty cổ phần cà phê Phước An đã giao dịch thành công 02 hợp đồng bán cà phê nhân mang thương hiệu CDĐL Buôn Ma Thuột cho 01 nhà rang xay tại Thành phố Hồ Chí Minh sản lượng 20 tấn. </w:t>
      </w:r>
    </w:p>
    <w:p w:rsidR="000A4C29" w:rsidRPr="00BA4122" w:rsidRDefault="000A4C29" w:rsidP="000414AE">
      <w:pPr>
        <w:tabs>
          <w:tab w:val="left" w:pos="540"/>
        </w:tabs>
        <w:spacing w:before="120" w:after="120"/>
        <w:jc w:val="both"/>
        <w:rPr>
          <w:sz w:val="28"/>
          <w:szCs w:val="28"/>
        </w:rPr>
      </w:pPr>
      <w:r>
        <w:rPr>
          <w:sz w:val="28"/>
          <w:szCs w:val="28"/>
        </w:rPr>
        <w:tab/>
      </w:r>
      <w:r>
        <w:rPr>
          <w:sz w:val="28"/>
          <w:szCs w:val="28"/>
        </w:rPr>
        <w:tab/>
      </w:r>
      <w:r w:rsidRPr="00EF75F6">
        <w:rPr>
          <w:sz w:val="28"/>
          <w:szCs w:val="28"/>
        </w:rPr>
        <w:t xml:space="preserve">Trong </w:t>
      </w:r>
      <w:r>
        <w:rPr>
          <w:sz w:val="28"/>
          <w:szCs w:val="28"/>
        </w:rPr>
        <w:t>0</w:t>
      </w:r>
      <w:r w:rsidRPr="00EF75F6">
        <w:rPr>
          <w:sz w:val="28"/>
          <w:szCs w:val="28"/>
        </w:rPr>
        <w:t xml:space="preserve">2 năm kết nối những đơn vị sản xuất, thương mại cung ứng cà phê nhân có CDĐL (Công ty TNHH MTV XNK 2/9 Đắk Lắk, Công ty TNHH Dak Man Việt Nam, Công ty TNHH MTV cà phê Ea Pốk,…) với các nhà rang xay trong nước(tại Đắk Lắk, Hà Nội, Tp. Hồ Chí Minh, Đồng Nai, Đà Nẵng…) số lượng cà phê nhân đã cung ứng </w:t>
      </w:r>
      <w:r>
        <w:rPr>
          <w:sz w:val="28"/>
          <w:szCs w:val="28"/>
        </w:rPr>
        <w:t xml:space="preserve">khoảng </w:t>
      </w:r>
      <w:r w:rsidRPr="009F7EC4">
        <w:rPr>
          <w:sz w:val="28"/>
          <w:szCs w:val="28"/>
        </w:rPr>
        <w:t>4.513 tấn</w:t>
      </w:r>
      <w:r w:rsidRPr="00EF75F6">
        <w:rPr>
          <w:i/>
          <w:iCs/>
          <w:sz w:val="28"/>
          <w:szCs w:val="28"/>
        </w:rPr>
        <w:t>.</w:t>
      </w:r>
      <w:r>
        <w:rPr>
          <w:i/>
          <w:iCs/>
          <w:sz w:val="28"/>
          <w:szCs w:val="28"/>
        </w:rPr>
        <w:t xml:space="preserve"> </w:t>
      </w:r>
      <w:r>
        <w:rPr>
          <w:sz w:val="28"/>
          <w:szCs w:val="28"/>
        </w:rPr>
        <w:t>Riêng năm 2018 sản lượng cà phê nhân có chỉ dẫn địa lý Buôn Ma Thuột được tiêu thụ nội địa khoảng 540 tấn.</w:t>
      </w:r>
    </w:p>
    <w:p w:rsidR="000A4C29" w:rsidRDefault="000A4C29" w:rsidP="000414AE">
      <w:pPr>
        <w:tabs>
          <w:tab w:val="left" w:pos="540"/>
        </w:tabs>
        <w:spacing w:before="120" w:after="120"/>
        <w:jc w:val="both"/>
        <w:rPr>
          <w:sz w:val="28"/>
          <w:szCs w:val="28"/>
        </w:rPr>
      </w:pPr>
      <w:r>
        <w:rPr>
          <w:sz w:val="28"/>
          <w:szCs w:val="28"/>
        </w:rPr>
        <w:tab/>
      </w:r>
      <w:r>
        <w:rPr>
          <w:sz w:val="28"/>
          <w:szCs w:val="28"/>
        </w:rPr>
        <w:tab/>
        <w:t xml:space="preserve">Ngoài ra, để nâng cao chất lượng sản phẩm cà phê nhân mang CDĐL Buôn Ma Thuột tham gia thị trường cà phê đặc sản, </w:t>
      </w:r>
      <w:r w:rsidRPr="00EF75F6">
        <w:rPr>
          <w:sz w:val="28"/>
          <w:szCs w:val="28"/>
        </w:rPr>
        <w:t>Công ty TNHH MTV XNK 2/9 Đắk Lắk</w:t>
      </w:r>
      <w:r>
        <w:rPr>
          <w:sz w:val="28"/>
          <w:szCs w:val="28"/>
        </w:rPr>
        <w:t xml:space="preserve"> đã triển khai sản xuất cà phê “Fine Robusta Buôn Ma Thuột” tại Hợp tác xã Ea Tân – huyện Krông Năng với sản lượng hàng năm khoảng 30 tấn, xuất khẩu khoảng 15 tấn với giá tăng thêm khoảng 40% so với giá thị trường và người nông dân được công ty trả với giá cộng thêm khoảng 10.000 đ/kg. </w:t>
      </w:r>
      <w:r w:rsidRPr="00EF75F6">
        <w:rPr>
          <w:sz w:val="28"/>
          <w:szCs w:val="28"/>
        </w:rPr>
        <w:t xml:space="preserve">Đây là hướng </w:t>
      </w:r>
      <w:r>
        <w:rPr>
          <w:sz w:val="28"/>
          <w:szCs w:val="28"/>
        </w:rPr>
        <w:t>đi mới nhằm nâng cao giá trị thương hiệu cho cà phê nhân mang CDĐL Buôn Ma Thuột.</w:t>
      </w:r>
    </w:p>
    <w:p w:rsidR="000A4C29" w:rsidRPr="000414AE" w:rsidRDefault="000A4C29" w:rsidP="000414AE">
      <w:pPr>
        <w:tabs>
          <w:tab w:val="left" w:pos="810"/>
        </w:tabs>
        <w:spacing w:after="120"/>
        <w:jc w:val="both"/>
        <w:rPr>
          <w:sz w:val="28"/>
          <w:szCs w:val="28"/>
        </w:rPr>
      </w:pPr>
      <w:r>
        <w:rPr>
          <w:sz w:val="28"/>
          <w:szCs w:val="28"/>
        </w:rPr>
        <w:tab/>
        <w:t>3</w:t>
      </w:r>
      <w:r w:rsidRPr="000414AE">
        <w:rPr>
          <w:b/>
          <w:bCs/>
          <w:sz w:val="28"/>
          <w:szCs w:val="28"/>
        </w:rPr>
        <w:t xml:space="preserve">. </w:t>
      </w:r>
      <w:r>
        <w:rPr>
          <w:b/>
          <w:bCs/>
          <w:sz w:val="28"/>
          <w:szCs w:val="28"/>
        </w:rPr>
        <w:t>C</w:t>
      </w:r>
      <w:r w:rsidRPr="000414AE">
        <w:rPr>
          <w:b/>
          <w:bCs/>
          <w:sz w:val="28"/>
          <w:szCs w:val="28"/>
        </w:rPr>
        <w:t>à phê rang xay có sử dụng Logo CDĐL</w:t>
      </w:r>
    </w:p>
    <w:p w:rsidR="000A4C29" w:rsidRPr="000414AE" w:rsidRDefault="000A4C29" w:rsidP="000414AE">
      <w:pPr>
        <w:tabs>
          <w:tab w:val="left" w:pos="450"/>
          <w:tab w:val="left" w:pos="540"/>
          <w:tab w:val="left" w:pos="810"/>
        </w:tabs>
        <w:spacing w:after="120"/>
        <w:jc w:val="both"/>
        <w:rPr>
          <w:sz w:val="28"/>
          <w:szCs w:val="28"/>
        </w:rPr>
      </w:pPr>
      <w:r w:rsidRPr="000414AE">
        <w:rPr>
          <w:sz w:val="28"/>
          <w:szCs w:val="28"/>
        </w:rPr>
        <w:tab/>
      </w:r>
      <w:r w:rsidRPr="000414AE">
        <w:rPr>
          <w:sz w:val="28"/>
          <w:szCs w:val="28"/>
        </w:rPr>
        <w:tab/>
      </w:r>
      <w:r w:rsidRPr="000414AE">
        <w:rPr>
          <w:sz w:val="28"/>
          <w:szCs w:val="28"/>
        </w:rPr>
        <w:tab/>
        <w:t xml:space="preserve">Sau hơn 3 năm đi vào hoạt động và triển khai sử dụng Logo Chỉ dẫn địa lý Buôn Ma Thuột trên sản phẩm cà phê rang xay, theo báo cáo của Chi hội rang xay cà phê Buôn Ma Thuột đến nay đã có 17/35 hội viên được Hiệp hội cấp quyền sử dụng logo chỉ dẫn địa lý cà phê Buôn Ma Thuột, tuy  vậy chỉ 13 đơn vị sử dụng lô gô cho 14 dòng sản phẩm cà phê rang xay. Còn 4 đơn vị chưa sử dụng gồm </w:t>
      </w:r>
      <w:r w:rsidRPr="000414AE">
        <w:rPr>
          <w:i/>
          <w:iCs/>
          <w:sz w:val="28"/>
          <w:szCs w:val="28"/>
        </w:rPr>
        <w:t xml:space="preserve">Công ty TNHH TMVD Mehyco, Chi nhánh công ty CP XNK Intimex Buôn Ma Thuột, Công ty CP Vina Café Biên Hòa, Doanh nghiệp tư nhân TM </w:t>
      </w:r>
      <w:r w:rsidRPr="000414AE">
        <w:rPr>
          <w:i/>
          <w:iCs/>
          <w:sz w:val="28"/>
          <w:szCs w:val="28"/>
        </w:rPr>
        <w:lastRenderedPageBreak/>
        <w:t>Minh Dũng</w:t>
      </w:r>
      <w:r w:rsidRPr="000414AE">
        <w:rPr>
          <w:sz w:val="28"/>
          <w:szCs w:val="28"/>
        </w:rPr>
        <w:t xml:space="preserve"> với các nguyên nhân như chưa sử dụng hết bao bì cũ, không sản xuất tiếp dòng sản phẩm đã xin sử dụng lô gô,… </w:t>
      </w:r>
    </w:p>
    <w:p w:rsidR="000A4C29" w:rsidRPr="000414AE" w:rsidRDefault="000A4C29" w:rsidP="000414AE">
      <w:pPr>
        <w:tabs>
          <w:tab w:val="left" w:pos="450"/>
          <w:tab w:val="left" w:pos="540"/>
        </w:tabs>
        <w:spacing w:before="120" w:after="120"/>
        <w:jc w:val="both"/>
        <w:rPr>
          <w:sz w:val="28"/>
          <w:szCs w:val="28"/>
        </w:rPr>
      </w:pPr>
      <w:r w:rsidRPr="000414AE">
        <w:rPr>
          <w:sz w:val="28"/>
          <w:szCs w:val="28"/>
        </w:rPr>
        <w:tab/>
      </w:r>
      <w:r w:rsidRPr="000414AE">
        <w:rPr>
          <w:sz w:val="28"/>
          <w:szCs w:val="28"/>
        </w:rPr>
        <w:tab/>
      </w:r>
      <w:r w:rsidRPr="000414AE">
        <w:rPr>
          <w:sz w:val="28"/>
          <w:szCs w:val="28"/>
        </w:rPr>
        <w:tab/>
        <w:t xml:space="preserve">Cà phê nhân sử dụng làm nguyên liệu trong chế biến sâu các sản phẩm mang lôgô đều có nguồn gốc từ các đơn vị sản xuất cà phê nhân được cấp quyền sử dụng CDĐL cà phê BMT. Có khoảng 50% đơn vị sử dụng lôgô dùng nguyên liệu cà phê nhân trực tiếp sản xuất hoặc liên kết sản xuất để chế biến cà phê rang xay. Nói chung, nguồn gốc xuất xứ nguyên liệu được bảo đảm theo quy chế sử dụng lôgô. Tiêu thụ cà phê rang xay góp phần có ý nghĩa trong việc tiêu thụ cà phê nhân có chỉ dẫn địa lý Buôn Ma Thuột.  </w:t>
      </w:r>
    </w:p>
    <w:p w:rsidR="000A4C29" w:rsidRPr="000414AE" w:rsidRDefault="000A4C29" w:rsidP="000414AE">
      <w:pPr>
        <w:tabs>
          <w:tab w:val="left" w:pos="450"/>
          <w:tab w:val="left" w:pos="540"/>
          <w:tab w:val="left" w:pos="810"/>
        </w:tabs>
        <w:spacing w:after="120"/>
        <w:jc w:val="both"/>
        <w:rPr>
          <w:sz w:val="28"/>
          <w:szCs w:val="28"/>
        </w:rPr>
      </w:pPr>
      <w:r w:rsidRPr="000414AE">
        <w:rPr>
          <w:sz w:val="28"/>
          <w:szCs w:val="28"/>
        </w:rPr>
        <w:tab/>
      </w:r>
      <w:r w:rsidRPr="000414AE">
        <w:rPr>
          <w:sz w:val="28"/>
          <w:szCs w:val="28"/>
        </w:rPr>
        <w:tab/>
      </w:r>
      <w:r w:rsidRPr="000414AE">
        <w:rPr>
          <w:sz w:val="28"/>
          <w:szCs w:val="28"/>
        </w:rPr>
        <w:tab/>
        <w:t xml:space="preserve">Theo thống kê của Hiệp hội cà phê Buôn Ma Thuột đã có khoảng 150 tấn cà phê rang xay mang thương hiệu (logo) cà phê Buôn Ma Thuột đã được thương mại trên thị trường nội địa trong 3 năm 2016-2018 (trung bình mỗi năm thương mại khoảng 50 tấn) với giá trị tăng thêm khoảng 3 - 5%. </w:t>
      </w:r>
    </w:p>
    <w:p w:rsidR="000A4C29" w:rsidRPr="000414AE" w:rsidRDefault="000A4C29" w:rsidP="000414AE">
      <w:pPr>
        <w:pStyle w:val="ListParagraph"/>
        <w:tabs>
          <w:tab w:val="left" w:pos="630"/>
        </w:tabs>
        <w:spacing w:before="120" w:after="120"/>
        <w:ind w:left="0"/>
        <w:jc w:val="both"/>
        <w:rPr>
          <w:rFonts w:ascii="Times New Roman" w:hAnsi="Times New Roman" w:cs="Times New Roman"/>
          <w:b/>
          <w:bCs/>
          <w:spacing w:val="-6"/>
          <w:sz w:val="28"/>
          <w:szCs w:val="28"/>
        </w:rPr>
      </w:pPr>
      <w:r w:rsidRPr="000414AE">
        <w:rPr>
          <w:rFonts w:ascii="Times New Roman" w:hAnsi="Times New Roman" w:cs="Times New Roman"/>
          <w:sz w:val="28"/>
          <w:szCs w:val="28"/>
        </w:rPr>
        <w:tab/>
      </w:r>
      <w:r>
        <w:rPr>
          <w:rFonts w:ascii="Times New Roman" w:hAnsi="Times New Roman" w:cs="Times New Roman"/>
          <w:sz w:val="28"/>
          <w:szCs w:val="28"/>
        </w:rPr>
        <w:t>4</w:t>
      </w:r>
      <w:r w:rsidRPr="000414AE">
        <w:rPr>
          <w:rFonts w:ascii="Times New Roman" w:hAnsi="Times New Roman" w:cs="Times New Roman"/>
          <w:b/>
          <w:bCs/>
          <w:sz w:val="28"/>
          <w:szCs w:val="28"/>
        </w:rPr>
        <w:t xml:space="preserve">. Cà phê đặc sản có </w:t>
      </w:r>
      <w:r w:rsidRPr="000414AE">
        <w:rPr>
          <w:rFonts w:ascii="Times New Roman" w:hAnsi="Times New Roman" w:cs="Times New Roman"/>
          <w:b/>
          <w:bCs/>
          <w:spacing w:val="-6"/>
          <w:sz w:val="28"/>
          <w:szCs w:val="28"/>
        </w:rPr>
        <w:t>Chỉ dẫn địa lý cà phê Buôn Ma Thuột</w:t>
      </w:r>
    </w:p>
    <w:p w:rsidR="000A4C29" w:rsidRPr="000414AE" w:rsidRDefault="000A4C29" w:rsidP="000414AE">
      <w:pPr>
        <w:pStyle w:val="ListParagraph"/>
        <w:tabs>
          <w:tab w:val="left" w:pos="630"/>
        </w:tabs>
        <w:spacing w:before="120" w:after="120"/>
        <w:ind w:left="0"/>
        <w:jc w:val="both"/>
        <w:rPr>
          <w:rFonts w:ascii="Times New Roman" w:hAnsi="Times New Roman" w:cs="Times New Roman"/>
          <w:sz w:val="28"/>
          <w:szCs w:val="28"/>
        </w:rPr>
      </w:pPr>
      <w:r w:rsidRPr="000414AE">
        <w:rPr>
          <w:rFonts w:ascii="Times New Roman" w:hAnsi="Times New Roman" w:cs="Times New Roman"/>
          <w:b/>
          <w:bCs/>
          <w:spacing w:val="-6"/>
          <w:sz w:val="28"/>
          <w:szCs w:val="28"/>
        </w:rPr>
        <w:tab/>
      </w:r>
      <w:r w:rsidRPr="000414AE">
        <w:rPr>
          <w:rFonts w:ascii="Times New Roman" w:hAnsi="Times New Roman" w:cs="Times New Roman"/>
          <w:sz w:val="28"/>
          <w:szCs w:val="28"/>
        </w:rPr>
        <w:t xml:space="preserve">Cuộc thi “cà phê đặc sản Việt Nam 2019” theo mô hình tổ chức cuộc thi của quốc tế, là sự kiện mới và trọng tâm tại Lễ hội cà phê Buôn Ma Thuột lần thứ 7 năm 2019, Hiệp hội cà phê Buôn Ma Thuột được UBND tỉnh Đắk Lắk giao chủ trì thực hiện, nguồn kinh phí xã hội hóa. </w:t>
      </w:r>
    </w:p>
    <w:p w:rsidR="000A4C29" w:rsidRPr="000414AE" w:rsidRDefault="000A4C29" w:rsidP="000414AE">
      <w:pPr>
        <w:pStyle w:val="ListParagraph"/>
        <w:tabs>
          <w:tab w:val="left" w:pos="630"/>
        </w:tabs>
        <w:spacing w:before="120" w:after="120"/>
        <w:ind w:left="0"/>
        <w:jc w:val="both"/>
        <w:rPr>
          <w:rFonts w:ascii="Times New Roman" w:hAnsi="Times New Roman" w:cs="Times New Roman"/>
          <w:sz w:val="28"/>
          <w:szCs w:val="28"/>
        </w:rPr>
      </w:pPr>
      <w:r w:rsidRPr="000414AE">
        <w:rPr>
          <w:rFonts w:ascii="Times New Roman" w:hAnsi="Times New Roman" w:cs="Times New Roman"/>
          <w:sz w:val="28"/>
          <w:szCs w:val="28"/>
        </w:rPr>
        <w:tab/>
        <w:t>Kết quả chung cuộc, đối với cà phê nhân Robusta, trong 18 lô sản phẩm cà phê nhân Robusta đạt tiêu chuẩn đặc sản, có 13 lô sản phẩm của 7 đơn vị thuộc vùng CDĐL Buôn Ma Thuột.</w:t>
      </w:r>
    </w:p>
    <w:p w:rsidR="000A4C29" w:rsidRPr="000414AE" w:rsidRDefault="000A4C29" w:rsidP="000414AE">
      <w:pPr>
        <w:pStyle w:val="ListParagraph"/>
        <w:tabs>
          <w:tab w:val="left" w:pos="630"/>
        </w:tabs>
        <w:spacing w:before="120" w:after="120"/>
        <w:ind w:left="0"/>
        <w:jc w:val="both"/>
        <w:rPr>
          <w:rFonts w:ascii="Times New Roman" w:hAnsi="Times New Roman" w:cs="Times New Roman"/>
          <w:b/>
          <w:bCs/>
          <w:sz w:val="28"/>
          <w:szCs w:val="28"/>
        </w:rPr>
      </w:pPr>
      <w:r w:rsidRPr="000414AE">
        <w:rPr>
          <w:rFonts w:ascii="Times New Roman" w:hAnsi="Times New Roman" w:cs="Times New Roman"/>
          <w:sz w:val="28"/>
          <w:szCs w:val="28"/>
        </w:rPr>
        <w:tab/>
        <w:t>Kết quả cuộc thi giúp cho Hiệp hội có thêm nhiều kinh nghiệm qúy về công tác tổ chức cũng như tiếp tục có định hướng mới phát triển ngành cà phê tỉnh nhà.</w:t>
      </w:r>
    </w:p>
    <w:p w:rsidR="000A4C29" w:rsidRPr="000414AE" w:rsidRDefault="000A4C29" w:rsidP="000414AE">
      <w:pPr>
        <w:spacing w:before="120" w:after="120"/>
        <w:ind w:firstLine="720"/>
        <w:jc w:val="both"/>
        <w:rPr>
          <w:b/>
          <w:bCs/>
          <w:sz w:val="28"/>
          <w:szCs w:val="28"/>
        </w:rPr>
      </w:pPr>
      <w:r>
        <w:rPr>
          <w:b/>
          <w:bCs/>
          <w:sz w:val="28"/>
          <w:szCs w:val="28"/>
        </w:rPr>
        <w:t>5</w:t>
      </w:r>
      <w:r w:rsidRPr="000414AE">
        <w:rPr>
          <w:b/>
          <w:bCs/>
          <w:sz w:val="28"/>
          <w:szCs w:val="28"/>
        </w:rPr>
        <w:t>. Đăng ký bảo hộ quốc tế thương hiệu cà phê Buôn Ma Thuột</w:t>
      </w:r>
    </w:p>
    <w:p w:rsidR="000A4C29" w:rsidRPr="000414AE" w:rsidRDefault="000A4C29" w:rsidP="000414AE">
      <w:pPr>
        <w:spacing w:before="120" w:after="120"/>
        <w:ind w:firstLine="720"/>
        <w:jc w:val="both"/>
        <w:rPr>
          <w:b/>
          <w:bCs/>
          <w:sz w:val="28"/>
          <w:szCs w:val="28"/>
        </w:rPr>
      </w:pPr>
      <w:r w:rsidRPr="000414AE">
        <w:rPr>
          <w:sz w:val="28"/>
          <w:szCs w:val="28"/>
        </w:rPr>
        <w:t xml:space="preserve">Trong Hiệp định thương mại tự do EU-VN, trong số 38 nông sản phẩm của VN được bảo hộ dưới hình thức CDĐL tại EU có “Buôn Ma Thuột Coffee. Tuy nhiên tất cả các CDĐL này đều phải hoàn thiện hồ sơ đăng ký và vận hành trong thực tế theo những quy định của EU. CDĐL “Buôn Ma Thuột Coffee” được lựa chọn hỗ trợ đề xúc tiến quá trình này. </w:t>
      </w:r>
    </w:p>
    <w:p w:rsidR="000A4C29" w:rsidRPr="000414AE" w:rsidRDefault="000A4C29" w:rsidP="000414AE">
      <w:pPr>
        <w:spacing w:before="120" w:after="120"/>
        <w:ind w:firstLine="720"/>
        <w:jc w:val="both"/>
        <w:rPr>
          <w:b/>
          <w:bCs/>
          <w:sz w:val="28"/>
          <w:szCs w:val="28"/>
        </w:rPr>
      </w:pPr>
      <w:r w:rsidRPr="000414AE">
        <w:rPr>
          <w:sz w:val="28"/>
          <w:szCs w:val="28"/>
        </w:rPr>
        <w:t xml:space="preserve">Dự án “Sửa đổi, mở rộng phạm vi bảo hộ và hỗ trợ hoàn thiện hệ thống Chỉ dẫn địa lý Buôn Ma Thuột”  đã được Bộ Khoa học Công nghệ phê duyệt giao cho Trung tâm phát triển nông thôn (Viện chính sách và chiến lược phát triển nông thôn) là đơn vị chủ trì thực hiện, trong 24 tháng tính từ tháng 1/2019 – 12/2020. Theo đó sẽ xây dựng lại hồ sơ đăng ký, mở rộng phạm vi bảo hộ, xác định đặc thù chất lượng, củng cố vận hành hệ thống kiểm soát, là trong số nhiều công việc chủ yếu phải tích cực triển khai trong thời hạn của dự án. </w:t>
      </w:r>
    </w:p>
    <w:p w:rsidR="000A4C29" w:rsidRPr="000414AE" w:rsidRDefault="000A4C29" w:rsidP="000414AE">
      <w:pPr>
        <w:spacing w:before="120" w:after="120"/>
        <w:ind w:firstLine="720"/>
        <w:jc w:val="both"/>
        <w:rPr>
          <w:sz w:val="28"/>
          <w:szCs w:val="28"/>
        </w:rPr>
      </w:pPr>
      <w:r w:rsidRPr="000414AE">
        <w:rPr>
          <w:sz w:val="28"/>
          <w:szCs w:val="28"/>
        </w:rPr>
        <w:t xml:space="preserve">Nhãn hiệu tập thể “Buon Ma Thuot Coffee” đã được Hiệp hội nộp đơn đăng ký bảo hộ nhãn hiệu tập thể tại thị trường Nhật Bản nhưng đã bị từ chối do phía Nhật Bản cho rằng nhãn hiệu “Buon Ma Thuot Coffee” không có khả năng </w:t>
      </w:r>
      <w:r w:rsidRPr="000414AE">
        <w:rPr>
          <w:sz w:val="28"/>
          <w:szCs w:val="28"/>
        </w:rPr>
        <w:lastRenderedPageBreak/>
        <w:t xml:space="preserve">phân biệt sảm phẩm, người nộp đơn còn phải chứng minh sản phẩm mang nhãn hiệu “Buon Ma Thuot Coffee” nổi tiếng với người tiêu dùng Nhật Bản. Do đó, trong chương trình hợp tác với Nhật Bản, Cục Sở hữu trí tuệ Việt Nam thỏa thuận với phía Nhật đưa CDĐL cà phê BMT vào các danh mục sản phẩm được xem xét bảo hộ tại Nhật Bản. Hiện nay Hiệp hội đang tích cực phối hợp với Cục Sở hữu trí tuệ để cung cấp các tài liệu cần thiết theo yêu cầu để đăng ký bảo hộ sang Nhật Bản. </w:t>
      </w:r>
    </w:p>
    <w:p w:rsidR="000A4C29" w:rsidRPr="00424ECE" w:rsidRDefault="000A4C29" w:rsidP="00421FC4">
      <w:pPr>
        <w:pStyle w:val="BodyText"/>
        <w:spacing w:before="120" w:after="120"/>
        <w:ind w:firstLine="720"/>
        <w:rPr>
          <w:b/>
          <w:bCs/>
          <w:sz w:val="28"/>
          <w:szCs w:val="28"/>
        </w:rPr>
      </w:pPr>
      <w:r w:rsidRPr="00424ECE">
        <w:rPr>
          <w:b/>
          <w:bCs/>
          <w:sz w:val="28"/>
          <w:szCs w:val="28"/>
        </w:rPr>
        <w:t xml:space="preserve">IV. Tình hình xúc tiến kêu gọi đầu tư: </w:t>
      </w:r>
    </w:p>
    <w:p w:rsidR="000A4C29" w:rsidRPr="003230D8" w:rsidRDefault="000A4C29" w:rsidP="00424ECE">
      <w:pPr>
        <w:spacing w:before="40" w:after="40" w:line="276" w:lineRule="auto"/>
        <w:ind w:firstLine="720"/>
        <w:jc w:val="both"/>
        <w:rPr>
          <w:sz w:val="28"/>
          <w:szCs w:val="28"/>
        </w:rPr>
      </w:pPr>
      <w:r>
        <w:rPr>
          <w:sz w:val="28"/>
          <w:szCs w:val="28"/>
        </w:rPr>
        <w:t>Đ</w:t>
      </w:r>
      <w:r w:rsidRPr="003230D8">
        <w:rPr>
          <w:sz w:val="28"/>
          <w:szCs w:val="28"/>
        </w:rPr>
        <w:t>ến nay trên địa bàn tỉnh có 20 dự án đầu tư chế biến cà phê với tổng vốn đầu tư 3.469,6 t</w:t>
      </w:r>
      <w:r>
        <w:rPr>
          <w:sz w:val="28"/>
          <w:szCs w:val="28"/>
        </w:rPr>
        <w:t xml:space="preserve">ỷ đồng, </w:t>
      </w:r>
      <w:r w:rsidRPr="003230D8">
        <w:rPr>
          <w:sz w:val="28"/>
          <w:szCs w:val="28"/>
        </w:rPr>
        <w:t xml:space="preserve">đã được quyết định chủ trương đầu tư hoặc có báo cáo về Sở Kế hoạch và Đầu tư, </w:t>
      </w:r>
      <w:r>
        <w:rPr>
          <w:sz w:val="28"/>
          <w:szCs w:val="28"/>
        </w:rPr>
        <w:t>cụ thể như sau:</w:t>
      </w:r>
    </w:p>
    <w:p w:rsidR="000A4C29" w:rsidRPr="003230D8" w:rsidRDefault="000A4C29" w:rsidP="00424ECE">
      <w:pPr>
        <w:spacing w:before="40" w:after="40" w:line="276" w:lineRule="auto"/>
        <w:ind w:firstLine="720"/>
        <w:jc w:val="both"/>
        <w:rPr>
          <w:sz w:val="28"/>
          <w:szCs w:val="28"/>
        </w:rPr>
      </w:pPr>
      <w:r w:rsidRPr="003230D8">
        <w:rPr>
          <w:sz w:val="28"/>
          <w:szCs w:val="28"/>
        </w:rPr>
        <w:t xml:space="preserve">- </w:t>
      </w:r>
      <w:r>
        <w:rPr>
          <w:sz w:val="28"/>
          <w:szCs w:val="28"/>
        </w:rPr>
        <w:t xml:space="preserve">Có </w:t>
      </w:r>
      <w:r w:rsidRPr="003230D8">
        <w:rPr>
          <w:sz w:val="28"/>
          <w:szCs w:val="28"/>
        </w:rPr>
        <w:t>04 dự án đầu tư trực tiếp nước ngoài trong ngành chế biến cà phê với tổng vốn đầu tư 1.462,9 tỷ đồng, gồm: (1) Dự án Liên doanh chế biến cà phê nhân xuất khẩu DakMan - Buôn Ma Thuột của Công ty TNHH Dakman Việt Nam, tổng vốn đầu tư 117,4 tỷ đồng, công suất 50.000 tấn cà phê nhân/năm và 5.000 tấn ca cao/năm; (2) Dự án Nhà máy chế biến cà phê, hạt điều, hồ tiêu và các loại nông sản khác của Công ty TNHH Olam, tổng vốn đầu tư 17,54 tỷ đồng, công suất chế biến cà phê nhân: 40.000 tấn/năm; hạt điều: 4.000 tấn/năm; hạt tiêu: 1.000 tấn/năm; các loại nông sản khác: 100 tấn/năm; (3) Dự án Chế biến xuất khẩu cà phê nhân của Công ty TNHH Cà phê Hà Lan Việt Nam, tổng vốn đầu tư 53 tỷ đồng, công suất 35.000 tấn/năm; (4) Dự án Nhà máy chế biến cà phê hòa tan “Cà phê Ngon” của Công ty TNHH Cà phê Ngon, tổng vốn đầu tư 1.275 tỷ đồng, với công suất sản xuất cà phê hòa tan 10.000 tấn/năm; sản xuất cà phê lỏng 6.000 tấn/năm; mua bán, xuất nhập khẩu cà phê nhân 12.000 tấn/năm.</w:t>
      </w:r>
    </w:p>
    <w:p w:rsidR="000A4C29" w:rsidRPr="003230D8" w:rsidRDefault="000A4C29" w:rsidP="00424ECE">
      <w:pPr>
        <w:spacing w:before="40" w:after="40" w:line="276" w:lineRule="auto"/>
        <w:ind w:firstLine="720"/>
        <w:jc w:val="both"/>
        <w:rPr>
          <w:sz w:val="28"/>
          <w:szCs w:val="28"/>
        </w:rPr>
      </w:pPr>
      <w:r w:rsidRPr="003230D8">
        <w:rPr>
          <w:sz w:val="28"/>
          <w:szCs w:val="28"/>
        </w:rPr>
        <w:t xml:space="preserve">- </w:t>
      </w:r>
      <w:r>
        <w:rPr>
          <w:sz w:val="28"/>
          <w:szCs w:val="28"/>
        </w:rPr>
        <w:t xml:space="preserve">Có </w:t>
      </w:r>
      <w:r w:rsidRPr="003230D8">
        <w:rPr>
          <w:sz w:val="28"/>
          <w:szCs w:val="28"/>
        </w:rPr>
        <w:t xml:space="preserve">16 dự án đầu tư chế biến cà phê với tổng vốn đầu tư 2.006,64 tỷ đồng (trong đó có 08 dự án đi vào hoạt động, 07 dự án đang triển khai xây dựng và 01 dự án đang thực hiện thủ tục chuẩn bị đầu tư). Một số dự án tiêu biểu đi vào hoạt động đạt hiệu quả như: Dự án nhà máy chế biến cà phê hòa tan của Công ty cà phê An Thái tại Khu công nghiệp Hòa Phú, với công suất 936 tấn/năm; với vốn đầu tư khoảng 45 tỷ đồng;  Dự án Nhà máy chế biến cà phê, nông sản xuất khẩu, cà phê bột của Công ty Cổ phần Xuất nhập khẩu Intimex tại Cụm Công nghiệp Tân An, với công suất 34.500 tấn/năm, vốn đầu tư 30,8 tỷ đồng; </w:t>
      </w:r>
      <w:r w:rsidRPr="00424ECE">
        <w:rPr>
          <w:sz w:val="28"/>
          <w:szCs w:val="28"/>
        </w:rPr>
        <w:t>Dự án Nhà máy sơ chế cà phê nhân của Công ty CP cà phê Trung Nguyên tại tại Cụm Công nghiệp Tân An 1, vốn đầu tư 105 tỷ đồng (đã điều chỉnh mục tiêu và được cấp Giấy chứng nhận đầu tư.</w:t>
      </w:r>
      <w:r>
        <w:rPr>
          <w:sz w:val="28"/>
          <w:szCs w:val="28"/>
        </w:rPr>
        <w:t xml:space="preserve"> </w:t>
      </w:r>
      <w:r w:rsidRPr="00CB5B91">
        <w:rPr>
          <w:sz w:val="28"/>
          <w:szCs w:val="28"/>
        </w:rPr>
        <w:t xml:space="preserve">Nhà máy cà phê Trung Nguyên Legend tại </w:t>
      </w:r>
      <w:r>
        <w:rPr>
          <w:sz w:val="28"/>
          <w:szCs w:val="28"/>
        </w:rPr>
        <w:t>Cụm công nghiệp</w:t>
      </w:r>
      <w:r w:rsidRPr="00CB5B91">
        <w:rPr>
          <w:sz w:val="28"/>
          <w:szCs w:val="28"/>
        </w:rPr>
        <w:t xml:space="preserve"> Tân An, </w:t>
      </w:r>
      <w:r>
        <w:rPr>
          <w:sz w:val="28"/>
          <w:szCs w:val="28"/>
        </w:rPr>
        <w:t xml:space="preserve">thành phố </w:t>
      </w:r>
      <w:r w:rsidRPr="00CB5B91">
        <w:rPr>
          <w:sz w:val="28"/>
          <w:szCs w:val="28"/>
        </w:rPr>
        <w:t>Buôn Ma Thuột</w:t>
      </w:r>
      <w:r>
        <w:rPr>
          <w:sz w:val="28"/>
          <w:szCs w:val="28"/>
        </w:rPr>
        <w:t xml:space="preserve"> </w:t>
      </w:r>
      <w:r w:rsidRPr="002708C1">
        <w:rPr>
          <w:sz w:val="28"/>
          <w:szCs w:val="28"/>
        </w:rPr>
        <w:t>vốn đầu tư 241 tỷ đồng</w:t>
      </w:r>
    </w:p>
    <w:p w:rsidR="000A4C29" w:rsidRPr="00421FC4" w:rsidRDefault="000A4C29" w:rsidP="00421FC4">
      <w:pPr>
        <w:spacing w:before="120" w:after="120"/>
        <w:ind w:firstLine="720"/>
        <w:jc w:val="both"/>
        <w:rPr>
          <w:b/>
          <w:bCs/>
          <w:sz w:val="28"/>
          <w:szCs w:val="28"/>
        </w:rPr>
      </w:pPr>
      <w:r w:rsidRPr="00421FC4">
        <w:rPr>
          <w:b/>
          <w:bCs/>
          <w:sz w:val="28"/>
          <w:szCs w:val="28"/>
        </w:rPr>
        <w:t>V. Đánh giá tình hình niên vụ cà phê 201</w:t>
      </w:r>
      <w:r>
        <w:rPr>
          <w:b/>
          <w:bCs/>
          <w:sz w:val="28"/>
          <w:szCs w:val="28"/>
        </w:rPr>
        <w:t>8</w:t>
      </w:r>
      <w:r w:rsidRPr="00421FC4">
        <w:rPr>
          <w:b/>
          <w:bCs/>
          <w:sz w:val="28"/>
          <w:szCs w:val="28"/>
        </w:rPr>
        <w:t>-201</w:t>
      </w:r>
      <w:r>
        <w:rPr>
          <w:b/>
          <w:bCs/>
          <w:sz w:val="28"/>
          <w:szCs w:val="28"/>
        </w:rPr>
        <w:t>9</w:t>
      </w:r>
      <w:r w:rsidRPr="00421FC4">
        <w:rPr>
          <w:b/>
          <w:bCs/>
          <w:sz w:val="28"/>
          <w:szCs w:val="28"/>
        </w:rPr>
        <w:t>:</w:t>
      </w:r>
    </w:p>
    <w:p w:rsidR="000A4C29" w:rsidRPr="00421FC4" w:rsidRDefault="000A4C29" w:rsidP="00421FC4">
      <w:pPr>
        <w:pStyle w:val="BodyText"/>
        <w:spacing w:before="120" w:after="120"/>
        <w:rPr>
          <w:b/>
          <w:bCs/>
          <w:sz w:val="28"/>
          <w:szCs w:val="28"/>
        </w:rPr>
      </w:pPr>
      <w:r w:rsidRPr="00421FC4">
        <w:rPr>
          <w:sz w:val="28"/>
          <w:szCs w:val="28"/>
        </w:rPr>
        <w:tab/>
      </w:r>
      <w:r w:rsidRPr="00421FC4">
        <w:rPr>
          <w:b/>
          <w:bCs/>
          <w:sz w:val="28"/>
          <w:szCs w:val="28"/>
        </w:rPr>
        <w:t xml:space="preserve">a) Đánh giá chung: </w:t>
      </w:r>
    </w:p>
    <w:p w:rsidR="000A4C29" w:rsidRDefault="000A4C29" w:rsidP="003A667F">
      <w:pPr>
        <w:spacing w:line="306" w:lineRule="atLeast"/>
        <w:ind w:firstLine="646"/>
        <w:jc w:val="both"/>
        <w:rPr>
          <w:sz w:val="28"/>
          <w:szCs w:val="28"/>
          <w:lang w:val="de-DE"/>
        </w:rPr>
      </w:pPr>
      <w:r>
        <w:rPr>
          <w:color w:val="000000"/>
          <w:sz w:val="28"/>
          <w:szCs w:val="28"/>
          <w:lang w:val="de-DE" w:eastAsia="vi-VN"/>
        </w:rPr>
        <w:lastRenderedPageBreak/>
        <w:t>Niên vụ cà phê 2018-2019 diễn ra t</w:t>
      </w:r>
      <w:r w:rsidRPr="0066084C">
        <w:rPr>
          <w:color w:val="000000"/>
          <w:sz w:val="28"/>
          <w:szCs w:val="28"/>
          <w:lang w:val="de-DE" w:eastAsia="vi-VN"/>
        </w:rPr>
        <w:t>rong điều kiện</w:t>
      </w:r>
      <w:r w:rsidRPr="0066084C">
        <w:rPr>
          <w:sz w:val="28"/>
          <w:szCs w:val="28"/>
          <w:lang w:val="de-DE"/>
        </w:rPr>
        <w:t xml:space="preserve"> tình hình thị trường cà phê có nhiều biến động</w:t>
      </w:r>
      <w:r>
        <w:rPr>
          <w:sz w:val="28"/>
          <w:szCs w:val="28"/>
          <w:lang w:val="de-DE"/>
        </w:rPr>
        <w:t>, biến đổi khí hậu toàn cầu,</w:t>
      </w:r>
      <w:r w:rsidRPr="0066084C">
        <w:rPr>
          <w:sz w:val="28"/>
          <w:szCs w:val="28"/>
          <w:lang w:val="de-DE"/>
        </w:rPr>
        <w:t xml:space="preserve"> thời tiết thay đổi </w:t>
      </w:r>
      <w:r>
        <w:rPr>
          <w:sz w:val="28"/>
          <w:szCs w:val="28"/>
          <w:lang w:val="de-DE"/>
        </w:rPr>
        <w:t>thất thường đã</w:t>
      </w:r>
      <w:r w:rsidRPr="0066084C">
        <w:rPr>
          <w:sz w:val="28"/>
          <w:szCs w:val="28"/>
          <w:lang w:val="de-DE"/>
        </w:rPr>
        <w:t xml:space="preserve"> tác động đến </w:t>
      </w:r>
      <w:r>
        <w:rPr>
          <w:sz w:val="28"/>
          <w:szCs w:val="28"/>
          <w:lang w:val="de-DE"/>
        </w:rPr>
        <w:t xml:space="preserve">sản xuất nông nghiệp nói chung và </w:t>
      </w:r>
      <w:r w:rsidRPr="0066084C">
        <w:rPr>
          <w:sz w:val="28"/>
          <w:szCs w:val="28"/>
          <w:lang w:val="de-DE"/>
        </w:rPr>
        <w:t>ngành cà phê</w:t>
      </w:r>
      <w:r>
        <w:rPr>
          <w:sz w:val="28"/>
          <w:szCs w:val="28"/>
          <w:lang w:val="de-DE"/>
        </w:rPr>
        <w:t xml:space="preserve"> nói riêng; Công tác thực hiện Kế hoạch tái canh cà phê còn chậm vì sự cạnh tranh của các loại cây trồng khác có giá trị kinh tế cao hơn như bơ, sầu riêng. </w:t>
      </w:r>
    </w:p>
    <w:p w:rsidR="000A4C29" w:rsidRDefault="000A4C29" w:rsidP="003A667F">
      <w:pPr>
        <w:spacing w:line="306" w:lineRule="atLeast"/>
        <w:ind w:firstLine="646"/>
        <w:jc w:val="both"/>
        <w:rPr>
          <w:color w:val="000000"/>
          <w:sz w:val="28"/>
          <w:szCs w:val="28"/>
          <w:lang w:val="de-DE" w:eastAsia="vi-VN"/>
        </w:rPr>
      </w:pPr>
      <w:r>
        <w:rPr>
          <w:color w:val="000000"/>
          <w:sz w:val="28"/>
          <w:szCs w:val="28"/>
          <w:lang w:val="de-DE" w:eastAsia="vi-VN"/>
        </w:rPr>
        <w:t>Tuy nhiên, các doanh nghiệp sản xuất, kinh doanh cà phê, nhất là các doanh nghiệp có vốn đầu tư nước ngoài tích cực tham gia các chương trình sản xuất cà phê bền vững thông qua việc tổ chức tập huấn nông dân về sản xuất cà phê 4C, UTZ, RFA, Fairtraide...</w:t>
      </w:r>
    </w:p>
    <w:p w:rsidR="000A4C29" w:rsidRPr="00E8151B" w:rsidRDefault="000A4C29" w:rsidP="003A667F">
      <w:pPr>
        <w:spacing w:line="306" w:lineRule="atLeast"/>
        <w:ind w:firstLine="646"/>
        <w:jc w:val="both"/>
        <w:rPr>
          <w:color w:val="000000"/>
          <w:sz w:val="28"/>
          <w:szCs w:val="28"/>
          <w:lang w:val="de-DE" w:eastAsia="vi-VN"/>
        </w:rPr>
      </w:pPr>
      <w:r>
        <w:rPr>
          <w:color w:val="000000"/>
          <w:sz w:val="28"/>
          <w:szCs w:val="28"/>
          <w:lang w:val="de-DE" w:eastAsia="vi-VN"/>
        </w:rPr>
        <w:t>Công tác xúc tiến thương mại và tìm kiếm thị trường đã được quan tâm chú trọng, đã xây dựng được thương hiệu cà phê Buôn Ma Thuột gây ấn tượng với bạn bè trong nước và quốc tế, giúp cho việc quảng bá thương hiệu cà phê Buôn Ma Thuột, cà phê Việt Nam ra thị trường thế giới.</w:t>
      </w:r>
    </w:p>
    <w:p w:rsidR="000A4C29" w:rsidRPr="00E56819" w:rsidRDefault="000A4C29" w:rsidP="00421FC4">
      <w:pPr>
        <w:pStyle w:val="BodyText"/>
        <w:spacing w:before="120" w:after="120"/>
        <w:ind w:firstLine="720"/>
        <w:rPr>
          <w:sz w:val="28"/>
          <w:szCs w:val="28"/>
          <w:lang w:val="de-DE"/>
        </w:rPr>
      </w:pPr>
      <w:r w:rsidRPr="00E56819">
        <w:rPr>
          <w:sz w:val="28"/>
          <w:szCs w:val="28"/>
          <w:lang w:val="de-DE"/>
        </w:rPr>
        <w:t>Chất lượng cà phê xuất khẩu đã được doanh nghiệp quan tâm, đảm bảo được yêu cầu chất lượng cà phê cho xuất khẩu. Xuất khẩu cà phê hòa tan vẫn chiếm tỷ lệ rất nhỏ và chưa đem lại nhiều giá trị gia tăng cho ngành cà phê Đắk Lắk.</w:t>
      </w:r>
    </w:p>
    <w:p w:rsidR="000A4C29" w:rsidRPr="00421FC4" w:rsidRDefault="000A4C29" w:rsidP="00421FC4">
      <w:pPr>
        <w:pStyle w:val="BodyText"/>
        <w:spacing w:before="120" w:after="120"/>
        <w:ind w:firstLine="720"/>
        <w:rPr>
          <w:sz w:val="28"/>
          <w:szCs w:val="28"/>
          <w:lang w:val="de-DE"/>
        </w:rPr>
      </w:pPr>
      <w:r w:rsidRPr="00E56819">
        <w:rPr>
          <w:sz w:val="28"/>
          <w:szCs w:val="28"/>
          <w:lang w:val="de-DE"/>
        </w:rPr>
        <w:t xml:space="preserve">Ngoài ra để nâng cao năng lực và khả năng cạnh tranh mặt hàng cà phê của tỉnh, cả người sản xuất và doanh nghiệp cà phê đã đầu tư vốn để chăm sóc, tái canh diện tích cà phê già cỗi cho năng suất thấp, đầu tư máy móc thiết bị chế biến nhằm nâng cao chất lượng sản phẩm cà phê trên thị trường. </w:t>
      </w:r>
    </w:p>
    <w:p w:rsidR="000A4C29" w:rsidRPr="008D3906" w:rsidRDefault="000A4C29" w:rsidP="00421FC4">
      <w:pPr>
        <w:spacing w:before="120" w:after="120"/>
        <w:ind w:firstLine="720"/>
        <w:jc w:val="both"/>
        <w:rPr>
          <w:b/>
          <w:bCs/>
          <w:sz w:val="28"/>
          <w:szCs w:val="28"/>
        </w:rPr>
      </w:pPr>
      <w:r w:rsidRPr="008D3906">
        <w:rPr>
          <w:b/>
          <w:bCs/>
          <w:sz w:val="28"/>
          <w:szCs w:val="28"/>
        </w:rPr>
        <w:t>b) Một số khó khăn tồn tại:</w:t>
      </w:r>
    </w:p>
    <w:p w:rsidR="000A4C29" w:rsidRPr="008D3906" w:rsidRDefault="000A4C29" w:rsidP="00421FC4">
      <w:pPr>
        <w:spacing w:before="120" w:after="120"/>
        <w:ind w:firstLine="720"/>
        <w:jc w:val="both"/>
        <w:rPr>
          <w:sz w:val="28"/>
          <w:szCs w:val="28"/>
        </w:rPr>
      </w:pPr>
      <w:r w:rsidRPr="008D3906">
        <w:rPr>
          <w:sz w:val="28"/>
          <w:szCs w:val="28"/>
        </w:rPr>
        <w:t>Niên vụ cà phê 2018-2019 còn một số tồn tại, khó khăn sau:</w:t>
      </w:r>
    </w:p>
    <w:p w:rsidR="000A4C29" w:rsidRPr="008D3906" w:rsidRDefault="000A4C29" w:rsidP="00421FC4">
      <w:pPr>
        <w:spacing w:before="120" w:after="120"/>
        <w:ind w:firstLine="720"/>
        <w:jc w:val="both"/>
        <w:rPr>
          <w:sz w:val="28"/>
          <w:szCs w:val="28"/>
        </w:rPr>
      </w:pPr>
      <w:r w:rsidRPr="008D3906">
        <w:rPr>
          <w:sz w:val="28"/>
          <w:szCs w:val="28"/>
        </w:rPr>
        <w:t>Diễn biến thời tiết ngày càng phức tạp, trái quy luật, nắng nóng, khô hạn, mưa bão, lũ lụt ngày càng bất thường, tình trạng sâu bệnh hại có chiều hướng gia tăng cả về chủng loại và cấp độ.</w:t>
      </w:r>
    </w:p>
    <w:p w:rsidR="000A4C29" w:rsidRPr="008D3906" w:rsidRDefault="000A4C29" w:rsidP="00421FC4">
      <w:pPr>
        <w:spacing w:before="120" w:after="120"/>
        <w:ind w:firstLine="720"/>
        <w:jc w:val="both"/>
        <w:rPr>
          <w:sz w:val="28"/>
          <w:szCs w:val="28"/>
        </w:rPr>
      </w:pPr>
      <w:r w:rsidRPr="008D3906">
        <w:rPr>
          <w:sz w:val="28"/>
          <w:szCs w:val="28"/>
        </w:rPr>
        <w:t xml:space="preserve">Sự suy giảm diện tích đất canh tác do đô thị hóa, cùng với suy thoái về chất lượng đất, xói mòn, rửa trôi, bạc màu ngày càng phổ biến. </w:t>
      </w:r>
      <w:r w:rsidRPr="008D3906">
        <w:rPr>
          <w:sz w:val="28"/>
          <w:szCs w:val="28"/>
          <w:lang w:val="vi-VN"/>
        </w:rPr>
        <w:t>Hệ thống sản xuất cà phê vẫn tiềm ẩn yếu tố kém bền vững do tình trạng sử dụng lãng phí và chưa hợp lý các nguồn tài nguyên, vật tư đầu vào.</w:t>
      </w:r>
    </w:p>
    <w:p w:rsidR="000A4C29" w:rsidRPr="008D3906" w:rsidRDefault="000A4C29" w:rsidP="00421FC4">
      <w:pPr>
        <w:spacing w:before="120" w:after="120"/>
        <w:ind w:firstLine="720"/>
        <w:jc w:val="both"/>
        <w:rPr>
          <w:sz w:val="28"/>
          <w:szCs w:val="28"/>
        </w:rPr>
      </w:pPr>
      <w:r w:rsidRPr="008D3906">
        <w:rPr>
          <w:sz w:val="28"/>
          <w:szCs w:val="28"/>
        </w:rPr>
        <w:t>Hình thức tổ chức sản xuất cà phê hiện nay của tỉnh chủ yếu là sản xuất nông hộ, quy mô diện tích nhỏ, manh mún. Cơ sở hạ tầng nông thôn yếu kém, vấn đề thiếu sân phơi, nhà kho, thiết bị chế biến, thiếu nhân công nhất là lao động thu hái, chế biến cà phê khi vào vụ thu hoạch… đã ảnh hưởng không nhỏ đến chất lượng sản phẩm.</w:t>
      </w:r>
    </w:p>
    <w:p w:rsidR="000A4C29" w:rsidRPr="008D3906" w:rsidRDefault="000A4C29" w:rsidP="00421FC4">
      <w:pPr>
        <w:spacing w:before="120" w:after="120"/>
        <w:ind w:firstLine="720"/>
        <w:jc w:val="both"/>
        <w:rPr>
          <w:sz w:val="28"/>
          <w:szCs w:val="28"/>
        </w:rPr>
      </w:pPr>
      <w:r w:rsidRPr="008D3906">
        <w:rPr>
          <w:sz w:val="28"/>
          <w:szCs w:val="28"/>
        </w:rPr>
        <w:t xml:space="preserve">Hiện nay giá một số loại cây ăn quả như bơ, sầu riêng ở mức cao nên người dân có khuynh hướng trồng xen và cải tạo dần mà không tái canh toàn bộ diện tích cà phê dẫn đến khó khăn trong việc vay vốn ngân hàng hoặc chặt bỏ cây cà phê chuyển sang trồng cây ăn quả. Biến động giá cà phê, vật tư đầu vào các loại, chi phí vận chuyển liên tục tăng cao đã ảnh hưởng trực tiếp đến lợi nhuận của người sản xuất cà phê. </w:t>
      </w:r>
    </w:p>
    <w:p w:rsidR="000A4C29" w:rsidRPr="008D3906" w:rsidRDefault="000A4C29" w:rsidP="00421FC4">
      <w:pPr>
        <w:spacing w:before="120" w:after="120"/>
        <w:ind w:firstLine="720"/>
        <w:jc w:val="both"/>
        <w:rPr>
          <w:sz w:val="28"/>
          <w:szCs w:val="28"/>
        </w:rPr>
      </w:pPr>
      <w:r w:rsidRPr="008D3906">
        <w:rPr>
          <w:sz w:val="28"/>
          <w:szCs w:val="28"/>
        </w:rPr>
        <w:lastRenderedPageBreak/>
        <w:t>Cà phê nhân có chỉ dẫn địa lý Buôn Ma Thuột đã có mặt trên thị trường trong nước nhưng số lượng tiêu thụ còn ít. Hoạt động quảng bá, xúc tiến thương mại các sản phẩm cà phê nói chung và cà phê Buôn Ma Thuột còn hạn chế, chưa có giải pháp cụ thể cho đẩy mạnh xúc tiến thương mại cà phê có chỉ dẫn địa lý cũng như các loại cà phê bền vững có chứng nhận.</w:t>
      </w:r>
    </w:p>
    <w:p w:rsidR="000A4C29" w:rsidRDefault="000A4C29" w:rsidP="00421FC4">
      <w:pPr>
        <w:spacing w:before="120" w:after="120"/>
        <w:ind w:firstLine="720"/>
        <w:jc w:val="both"/>
        <w:rPr>
          <w:sz w:val="28"/>
          <w:szCs w:val="28"/>
        </w:rPr>
      </w:pPr>
      <w:r w:rsidRPr="008D3906">
        <w:rPr>
          <w:sz w:val="28"/>
          <w:szCs w:val="28"/>
          <w:shd w:val="clear" w:color="auto" w:fill="FFFFFF"/>
          <w:lang w:val="pt-BR"/>
        </w:rPr>
        <w:t xml:space="preserve">Công tác thu hút, mời gọi các dự án đầu tư vào </w:t>
      </w:r>
      <w:r w:rsidRPr="008D3906">
        <w:rPr>
          <w:sz w:val="28"/>
          <w:szCs w:val="28"/>
          <w:lang w:val="pt-BR"/>
        </w:rPr>
        <w:t>sản xuất, chế biến cà phê trên địa bàn</w:t>
      </w:r>
      <w:r w:rsidRPr="008D3906">
        <w:rPr>
          <w:sz w:val="28"/>
          <w:szCs w:val="28"/>
        </w:rPr>
        <w:t xml:space="preserve"> tỉnh đã được các cấp, các ngành quan tâm, chú trọng nhưng chưa đồng bộ. Các nhà đầu tư chủ yếu quan tâm đến chế biến thô, giá trị thấp, chưa mang lại nhiều lợi ích kinh tế cho địa phương cũng như tăng thu nhập cho người nông dân. Việc triển khai chính sách đối với ngành cà phê vẫn còn nhiều bất cập, thiếu thực tiễn, chưa đầy đủ và đồng bộ, dẫn đến khó khăn cho cả doanh nghiệp và người nông dân.</w:t>
      </w:r>
    </w:p>
    <w:p w:rsidR="000A4C29" w:rsidRPr="00D61A97" w:rsidRDefault="000A4C29" w:rsidP="008B02AC">
      <w:pPr>
        <w:spacing w:before="120" w:after="120"/>
        <w:ind w:firstLine="720"/>
        <w:jc w:val="both"/>
        <w:rPr>
          <w:sz w:val="28"/>
          <w:szCs w:val="28"/>
          <w:lang w:val="de-DE"/>
        </w:rPr>
      </w:pPr>
      <w:r w:rsidRPr="00D61A97">
        <w:rPr>
          <w:sz w:val="28"/>
          <w:szCs w:val="28"/>
          <w:lang w:val="de-DE"/>
        </w:rPr>
        <w:t>Hoạt động quảng bá, xúc tiến thương mại</w:t>
      </w:r>
      <w:r>
        <w:rPr>
          <w:sz w:val="28"/>
          <w:szCs w:val="28"/>
          <w:lang w:val="de-DE"/>
        </w:rPr>
        <w:t xml:space="preserve"> các sản phẩm cà phê của tỉnh nói chung vẫn còn </w:t>
      </w:r>
      <w:r w:rsidRPr="00D61A97">
        <w:rPr>
          <w:sz w:val="28"/>
          <w:szCs w:val="28"/>
          <w:lang w:val="de-DE"/>
        </w:rPr>
        <w:t xml:space="preserve">hạn chế, chưa có giải pháp cụ thể </w:t>
      </w:r>
      <w:r>
        <w:rPr>
          <w:sz w:val="28"/>
          <w:szCs w:val="28"/>
          <w:lang w:val="de-DE"/>
        </w:rPr>
        <w:t>nhằm</w:t>
      </w:r>
      <w:r w:rsidRPr="00D61A97">
        <w:rPr>
          <w:sz w:val="28"/>
          <w:szCs w:val="28"/>
          <w:lang w:val="de-DE"/>
        </w:rPr>
        <w:t xml:space="preserve"> đẩy mạnh xúc tiến</w:t>
      </w:r>
      <w:r>
        <w:rPr>
          <w:sz w:val="28"/>
          <w:szCs w:val="28"/>
          <w:lang w:val="de-DE"/>
        </w:rPr>
        <w:t xml:space="preserve"> xuất khẩu</w:t>
      </w:r>
      <w:r w:rsidRPr="00D61A97">
        <w:rPr>
          <w:sz w:val="28"/>
          <w:szCs w:val="28"/>
          <w:lang w:val="de-DE"/>
        </w:rPr>
        <w:t xml:space="preserve"> cà phê </w:t>
      </w:r>
      <w:r>
        <w:rPr>
          <w:sz w:val="28"/>
          <w:szCs w:val="28"/>
          <w:lang w:val="de-DE"/>
        </w:rPr>
        <w:t>ra thị trường thế giới.</w:t>
      </w:r>
    </w:p>
    <w:p w:rsidR="000A4C29" w:rsidRPr="008D3906" w:rsidRDefault="000A4C29" w:rsidP="00357029">
      <w:pPr>
        <w:spacing w:before="120" w:after="120"/>
        <w:ind w:firstLine="720"/>
        <w:jc w:val="both"/>
        <w:rPr>
          <w:sz w:val="28"/>
          <w:szCs w:val="28"/>
        </w:rPr>
      </w:pPr>
      <w:r w:rsidRPr="008D3906">
        <w:rPr>
          <w:sz w:val="28"/>
          <w:szCs w:val="28"/>
        </w:rPr>
        <w:t>Thiếu sự gắn kết trong sản xuất, chế biến, tiêu thụ, xuất khẩu; nhiều doanh nghiệp kinh doanh xuất khẩu cà phê trên địa bàn chưa quan tâm đến phát triển vùng nguyên liệu.</w:t>
      </w:r>
    </w:p>
    <w:p w:rsidR="000A4C29" w:rsidRPr="002068CF" w:rsidRDefault="000A4C29" w:rsidP="00B03F95">
      <w:pPr>
        <w:spacing w:before="120" w:after="120"/>
        <w:ind w:firstLine="720"/>
        <w:jc w:val="both"/>
        <w:rPr>
          <w:b/>
          <w:bCs/>
          <w:sz w:val="28"/>
          <w:szCs w:val="28"/>
        </w:rPr>
      </w:pPr>
      <w:r w:rsidRPr="002068CF">
        <w:rPr>
          <w:b/>
          <w:bCs/>
          <w:sz w:val="28"/>
          <w:szCs w:val="28"/>
        </w:rPr>
        <w:t xml:space="preserve">B. </w:t>
      </w:r>
      <w:r>
        <w:rPr>
          <w:b/>
          <w:bCs/>
          <w:sz w:val="28"/>
          <w:szCs w:val="28"/>
        </w:rPr>
        <w:t>KẾ HOẠCH NIÊN VỤ</w:t>
      </w:r>
      <w:r w:rsidRPr="002068CF">
        <w:rPr>
          <w:b/>
          <w:bCs/>
          <w:sz w:val="28"/>
          <w:szCs w:val="28"/>
        </w:rPr>
        <w:t xml:space="preserve"> 2019-2020:</w:t>
      </w:r>
    </w:p>
    <w:p w:rsidR="000A4C29" w:rsidRPr="002068CF" w:rsidRDefault="000A4C29">
      <w:pPr>
        <w:pStyle w:val="Heading1"/>
        <w:spacing w:before="120" w:after="120"/>
        <w:rPr>
          <w:sz w:val="28"/>
          <w:szCs w:val="28"/>
        </w:rPr>
      </w:pPr>
      <w:r w:rsidRPr="002068CF">
        <w:rPr>
          <w:sz w:val="28"/>
          <w:szCs w:val="28"/>
        </w:rPr>
        <w:tab/>
        <w:t>I. Tình hình cà phê Thế giới và Việt Nam:</w:t>
      </w:r>
    </w:p>
    <w:p w:rsidR="000A4C29" w:rsidRPr="00BA424C" w:rsidRDefault="000A4C29" w:rsidP="008D3906">
      <w:pPr>
        <w:spacing w:before="120" w:after="120"/>
        <w:ind w:firstLine="720"/>
        <w:jc w:val="both"/>
        <w:rPr>
          <w:color w:val="0D0D0D"/>
          <w:sz w:val="28"/>
          <w:szCs w:val="28"/>
          <w:shd w:val="clear" w:color="auto" w:fill="FCFCFC"/>
          <w:lang w:val="de-DE"/>
        </w:rPr>
      </w:pPr>
      <w:r w:rsidRPr="00BA424C">
        <w:rPr>
          <w:color w:val="0D0D0D"/>
          <w:sz w:val="28"/>
          <w:szCs w:val="28"/>
          <w:shd w:val="clear" w:color="auto" w:fill="FCFCFC"/>
          <w:lang w:val="de-DE"/>
        </w:rPr>
        <w:t>Theo báo cáo thị trường và thương mại thế giới của Bộ Nông nghiệp Hoa Kỳ (USDA) sản lượng cà phê thế giới trong niên vụ 201</w:t>
      </w:r>
      <w:r>
        <w:rPr>
          <w:color w:val="0D0D0D"/>
          <w:sz w:val="28"/>
          <w:szCs w:val="28"/>
          <w:shd w:val="clear" w:color="auto" w:fill="FCFCFC"/>
          <w:lang w:val="de-DE"/>
        </w:rPr>
        <w:t>9-2010</w:t>
      </w:r>
      <w:r w:rsidRPr="00BA424C">
        <w:rPr>
          <w:color w:val="0D0D0D"/>
          <w:sz w:val="28"/>
          <w:szCs w:val="28"/>
          <w:shd w:val="clear" w:color="auto" w:fill="FCFCFC"/>
          <w:lang w:val="de-DE"/>
        </w:rPr>
        <w:t xml:space="preserve"> được dự báo sẽ đạt mức 169,1 triệu bao (60 kg), sụt giảm 5,4 triệu bao so với niên vụ trước. USDA cho rằng sự sụt giảm này chủ yếu do vụ cà phê Arabica của Brazil bước vào năm cuối của chu kì sản xuất hai năm một lần, theo Global Coffee Report. Tiêu thụ cà phê toàn cầu đạt mức kỷ lục 167,9 triệu USD, hàng tồn kho cuối kỳ sẽ giảm 2,8 triệu bao, xuống còn 33,5 triệu bao. USDA cũng hạ dự báo khối lượng cà phê xuất khẩu trên thế giới giảm từ 800.000 bao xuống còn 116,8 triệu bao do xuất khẩu từ Brazil thấp hơn nhiều so với các lô hàng từ Indonesia và Việt Nam.</w:t>
      </w:r>
    </w:p>
    <w:p w:rsidR="000A4C29" w:rsidRPr="00BA424C" w:rsidRDefault="000A4C29" w:rsidP="008D3906">
      <w:pPr>
        <w:spacing w:before="120" w:after="120"/>
        <w:ind w:firstLine="720"/>
        <w:jc w:val="both"/>
        <w:rPr>
          <w:color w:val="0D0D0D"/>
          <w:sz w:val="28"/>
          <w:szCs w:val="28"/>
          <w:shd w:val="clear" w:color="auto" w:fill="FCFCFC"/>
          <w:lang w:val="de-DE"/>
        </w:rPr>
      </w:pPr>
      <w:r w:rsidRPr="00BA424C">
        <w:rPr>
          <w:color w:val="0D0D0D"/>
          <w:sz w:val="28"/>
          <w:szCs w:val="28"/>
          <w:shd w:val="clear" w:color="auto" w:fill="FCFCFC"/>
          <w:lang w:val="de-DE"/>
        </w:rPr>
        <w:t>Sản lượng cà phê Arabica của Brazil dự báo giảm 7,2 triệu bao xuống c̣n 41 triệu bao. USDA cho biết mặc dù sản lượng giảm nhưng điều kiện thời tiết tốt chiếm ưu thế ở hầu hết các vùng trồng cà phê trong giai đoạn nở hoa và hình thành quả. Chất lượng cây trồng dự kiến thấp hơn năm ngoái vì cây ở nhiều khu vực đang trong giai đoạn trưởng thành khi vụ thu hoạch diễn ra. Vụ thu hoạch Robusta của Brazil dự báo đạt mức kỉ lục 18,3 triệu bao, tăng 1,7 triệu bao. Lượng mưa dồi dào hỗ trợ sự phát triển của cây trồng ở bang sản xuất chính Espirito Santo, trong khi các biện pháp quản lí cây trồng tốt đã hỗ trợ cho sự gia tăng ổn định ở bang Rondonia. Tuy nhiên, tổng vụ thu hoạch Arabica và Robusta dự kiến giảm 5,5 triệu bao xuống còn 59,3 triệu bao. Với nguồn cung giảm, xuất khẩu cà phê Brazil dự kiến giảm 2,5 triệu bao xuống còn 33,5 triệu và lượng dự trữ cuối năm giảm 1 triệu bao xuống còn 2,9 triệu bao. Lượng tiêu thụ dự kiến tiếp tục tăng lên mức kỉ lục 23,5 triệu bao.</w:t>
      </w:r>
    </w:p>
    <w:p w:rsidR="000A4C29" w:rsidRPr="00BA424C" w:rsidRDefault="000A4C29" w:rsidP="008D3906">
      <w:pPr>
        <w:spacing w:before="120" w:after="120"/>
        <w:ind w:firstLine="720"/>
        <w:jc w:val="both"/>
        <w:rPr>
          <w:color w:val="0D0D0D"/>
          <w:sz w:val="28"/>
          <w:szCs w:val="28"/>
          <w:shd w:val="clear" w:color="auto" w:fill="FCFCFC"/>
          <w:lang w:val="de-DE"/>
        </w:rPr>
      </w:pPr>
      <w:r w:rsidRPr="00BA424C">
        <w:rPr>
          <w:color w:val="0D0D0D"/>
          <w:sz w:val="28"/>
          <w:szCs w:val="28"/>
          <w:shd w:val="clear" w:color="auto" w:fill="FCFCFC"/>
          <w:lang w:val="de-DE"/>
        </w:rPr>
        <w:lastRenderedPageBreak/>
        <w:t>Trong khi đó, tổng sản lượng cà phê của Trung Mỹ và Mexico gần như không thay đổi ở mức 19,1 triệu bao. Sản lượng tại Elsalvador, Guatemala và Panama tương ứng với mức 650.000 bao, 3,6 triệu bao và 100.000 bao. Nicaragua dự báo sản lượng cà phê giảm 200.000 bao xuống còn 2,3 triệu bao. Xuất khẩu cà phê ở khu vực Trung Mỹ và Mexico dự báo giảm 600.000 bao xuống còn 15,5 triệu bao chủ yếu do nguồn cung xuất khẩu thấp hơn ở Honduras. Hơn 45% cà phê của khu vực này được xuất khẩu sang Liên minh châu Âu (EU) và khoảng 1/3 sang Hoa Kỳ.</w:t>
      </w:r>
    </w:p>
    <w:p w:rsidR="000A4C29" w:rsidRPr="00BA424C" w:rsidRDefault="000A4C29" w:rsidP="008D3906">
      <w:pPr>
        <w:spacing w:before="120" w:after="120"/>
        <w:ind w:firstLine="720"/>
        <w:jc w:val="both"/>
        <w:rPr>
          <w:color w:val="0D0D0D"/>
          <w:sz w:val="28"/>
          <w:szCs w:val="28"/>
          <w:shd w:val="clear" w:color="auto" w:fill="FCFCFC"/>
          <w:lang w:val="de-DE"/>
        </w:rPr>
      </w:pPr>
      <w:r w:rsidRPr="00BA424C">
        <w:rPr>
          <w:color w:val="0D0D0D"/>
          <w:sz w:val="28"/>
          <w:szCs w:val="28"/>
          <w:shd w:val="clear" w:color="auto" w:fill="FCFCFC"/>
          <w:lang w:val="de-DE"/>
        </w:rPr>
        <w:t xml:space="preserve">Sản lượng cà phê của Colombia dự báo ở mức 14,3 triệu bao trong điều kiện tăng trưởng bình thường. Liên đoàn người trồng cà phê quốc gia Colombia (FNC) ước tính kể từ năm 2012, một nửa diện tích trồng cà phê 940.000 ha đã được cải tạo, chủ yếu là các giống chống bệnh rỉ sắt. Nỗ lực này đã tăng năng suất lên gần 1/3, ở mức 18,2 bao/ha và hạ tuổi trung bình của cây cà phê từ 15 năm xuống còn 7 năm. </w:t>
      </w:r>
    </w:p>
    <w:p w:rsidR="000A4C29" w:rsidRPr="00BA424C" w:rsidRDefault="000A4C29" w:rsidP="008D3906">
      <w:pPr>
        <w:spacing w:before="120" w:after="120"/>
        <w:ind w:firstLine="720"/>
        <w:jc w:val="both"/>
        <w:rPr>
          <w:color w:val="0D0D0D"/>
          <w:sz w:val="28"/>
          <w:szCs w:val="28"/>
          <w:shd w:val="clear" w:color="auto" w:fill="FCFCFC"/>
          <w:lang w:val="de-DE"/>
        </w:rPr>
      </w:pPr>
      <w:r w:rsidRPr="00BA424C">
        <w:rPr>
          <w:color w:val="0D0D0D"/>
          <w:sz w:val="28"/>
          <w:szCs w:val="28"/>
          <w:shd w:val="clear" w:color="auto" w:fill="FCFCFC"/>
          <w:lang w:val="de-DE"/>
        </w:rPr>
        <w:t>Sản xuất ở Indonesia sẽ tăng khiêm tốn 100.000 bao lên 10,7 triệu bao với mức tăng chia đều giữa sản lượng Arabica và Robusta. Sản lượng cà phê Robusta dự kiến đạt 9,5 triệu bao trong điều kiện phát triển thuận lợi ở các vùng đất thấp ở phía Nam Sumatra và Java, nơi có 75% tổng diện tích dành cho canh tác cà phê. Mặc dù lượng mưa lớn ở phía Tây Java đã làm trì hoãn vụ thu hoạch arabica, USDA dự kiến xuất khẩu khu vực này sẽ tăng nhẹ.</w:t>
      </w:r>
    </w:p>
    <w:p w:rsidR="000A4C29" w:rsidRPr="00BA424C" w:rsidRDefault="000A4C29" w:rsidP="008D3906">
      <w:pPr>
        <w:spacing w:before="120" w:after="120"/>
        <w:ind w:firstLine="720"/>
        <w:jc w:val="both"/>
        <w:rPr>
          <w:color w:val="0D0D0D"/>
          <w:sz w:val="28"/>
          <w:szCs w:val="28"/>
          <w:shd w:val="clear" w:color="auto" w:fill="FCFCFC"/>
          <w:lang w:val="de-DE"/>
        </w:rPr>
      </w:pPr>
      <w:r w:rsidRPr="00BA424C">
        <w:rPr>
          <w:color w:val="0D0D0D"/>
          <w:sz w:val="28"/>
          <w:szCs w:val="28"/>
          <w:shd w:val="clear" w:color="auto" w:fill="FCFCFC"/>
          <w:lang w:val="de-DE"/>
        </w:rPr>
        <w:t>Khối lượng cà phê nhập khẩu của EU dự báo giảm 500.000 bao xuống còn 48,5 triệu bao và chiếm hơn 40% lượng nhập khẩu cà phê thế giới, trong đó các nhà cung cấp hàng đầu gồm Brazil chiếm 29%, Việt Nam 25%, Honduras 8% và Colombia 6%. Lượng dự trữ cuối kì dự kiến giảm 700.000 bao xuống còn 13,1 triệu bao.</w:t>
      </w:r>
    </w:p>
    <w:p w:rsidR="000A4C29" w:rsidRPr="00BA424C" w:rsidRDefault="000A4C29" w:rsidP="008D3906">
      <w:pPr>
        <w:spacing w:before="120" w:after="120"/>
        <w:ind w:firstLine="720"/>
        <w:jc w:val="both"/>
        <w:rPr>
          <w:color w:val="0D0D0D"/>
          <w:sz w:val="28"/>
          <w:szCs w:val="28"/>
          <w:shd w:val="clear" w:color="auto" w:fill="FCFCFC"/>
          <w:lang w:val="de-DE"/>
        </w:rPr>
      </w:pPr>
      <w:r w:rsidRPr="00BA424C">
        <w:rPr>
          <w:color w:val="0D0D0D"/>
          <w:sz w:val="28"/>
          <w:szCs w:val="28"/>
          <w:shd w:val="clear" w:color="auto" w:fill="FCFCFC"/>
          <w:lang w:val="de-DE"/>
        </w:rPr>
        <w:t>Mỹ là quốc gia nhập khẩu cà phê lớn thứ hai thế giới và dự báo nhập khẩu tăng 400.000 bao lên 26,5 triệu bao. Các nhà cung cấp hàng đầu gồm Brazil ở mức 24%, Colombia 22%, Việt Nam 15% và Guatemala 6%. Khối lượng hàng tồn kho cuối kì dự báo tăng 200.000 bao lên 6,9 triệu bao.</w:t>
      </w:r>
    </w:p>
    <w:p w:rsidR="000A4C29" w:rsidRPr="00CC5016" w:rsidRDefault="000A4C29" w:rsidP="008D3906">
      <w:pPr>
        <w:spacing w:before="120" w:after="120"/>
        <w:ind w:firstLine="720"/>
        <w:jc w:val="both"/>
        <w:rPr>
          <w:color w:val="0D0D0D"/>
          <w:sz w:val="28"/>
          <w:szCs w:val="28"/>
          <w:shd w:val="clear" w:color="auto" w:fill="FCFCFC"/>
          <w:lang w:val="de-DE"/>
        </w:rPr>
      </w:pPr>
      <w:r w:rsidRPr="00BA424C">
        <w:rPr>
          <w:color w:val="0D0D0D"/>
          <w:sz w:val="28"/>
          <w:szCs w:val="28"/>
          <w:shd w:val="clear" w:color="auto" w:fill="FCFCFC"/>
          <w:lang w:val="de-DE"/>
        </w:rPr>
        <w:t>USDA dự báo sản lượng cà phê của Việt Nam tăng thêm 100.000 bao so với năm ngoái với mức kỉ lục 30,5 triệu bao. Trong 4 tháng đầu năm 2019, các vùng sản xuất cà phê chính ở Tây Nguyên phải trải qua thời tiết khô và nắng. Mùa mưa đến hơi chậm nhưng vẫn đủ để cây ra hoa và đậu quả tốt.</w:t>
      </w:r>
    </w:p>
    <w:p w:rsidR="000A4C29" w:rsidRPr="002068CF" w:rsidRDefault="000A4C29" w:rsidP="003249CA">
      <w:pPr>
        <w:spacing w:before="120" w:after="120"/>
        <w:ind w:firstLine="720"/>
        <w:jc w:val="both"/>
        <w:rPr>
          <w:b/>
          <w:bCs/>
          <w:sz w:val="28"/>
          <w:szCs w:val="28"/>
        </w:rPr>
      </w:pPr>
      <w:r w:rsidRPr="002068CF">
        <w:rPr>
          <w:b/>
          <w:bCs/>
          <w:sz w:val="28"/>
          <w:szCs w:val="28"/>
        </w:rPr>
        <w:t xml:space="preserve">II. </w:t>
      </w:r>
      <w:r>
        <w:rPr>
          <w:b/>
          <w:bCs/>
          <w:sz w:val="28"/>
          <w:szCs w:val="28"/>
        </w:rPr>
        <w:t xml:space="preserve">Kế hoạch </w:t>
      </w:r>
      <w:r w:rsidRPr="002068CF">
        <w:rPr>
          <w:b/>
          <w:bCs/>
          <w:sz w:val="28"/>
          <w:szCs w:val="28"/>
        </w:rPr>
        <w:t>sản xuất</w:t>
      </w:r>
      <w:r>
        <w:rPr>
          <w:b/>
          <w:bCs/>
          <w:sz w:val="28"/>
          <w:szCs w:val="28"/>
        </w:rPr>
        <w:t xml:space="preserve"> và xuất khẩu</w:t>
      </w:r>
      <w:r w:rsidRPr="002068CF">
        <w:rPr>
          <w:b/>
          <w:bCs/>
          <w:sz w:val="28"/>
          <w:szCs w:val="28"/>
        </w:rPr>
        <w:t xml:space="preserve"> cà phê trong tỉnh</w:t>
      </w:r>
      <w:r>
        <w:rPr>
          <w:b/>
          <w:bCs/>
          <w:sz w:val="28"/>
          <w:szCs w:val="28"/>
        </w:rPr>
        <w:t xml:space="preserve"> niên vụ 2019-2020</w:t>
      </w:r>
      <w:r w:rsidRPr="002068CF">
        <w:rPr>
          <w:b/>
          <w:bCs/>
          <w:sz w:val="28"/>
          <w:szCs w:val="28"/>
        </w:rPr>
        <w:t>:</w:t>
      </w:r>
    </w:p>
    <w:p w:rsidR="000A4C29" w:rsidRPr="0043609A" w:rsidRDefault="000A4C29" w:rsidP="003249CA">
      <w:pPr>
        <w:pStyle w:val="BodyText"/>
        <w:spacing w:before="120" w:after="120"/>
        <w:ind w:firstLine="720"/>
        <w:rPr>
          <w:sz w:val="27"/>
          <w:szCs w:val="27"/>
        </w:rPr>
      </w:pPr>
      <w:r w:rsidRPr="00E6789F">
        <w:rPr>
          <w:i/>
          <w:iCs/>
          <w:sz w:val="28"/>
          <w:szCs w:val="28"/>
        </w:rPr>
        <w:t xml:space="preserve">Về </w:t>
      </w:r>
      <w:r>
        <w:rPr>
          <w:i/>
          <w:iCs/>
          <w:sz w:val="28"/>
          <w:szCs w:val="28"/>
        </w:rPr>
        <w:t>sản xuất</w:t>
      </w:r>
      <w:r w:rsidRPr="00E6789F">
        <w:rPr>
          <w:i/>
          <w:iCs/>
          <w:sz w:val="28"/>
          <w:szCs w:val="28"/>
        </w:rPr>
        <w:t>:</w:t>
      </w:r>
      <w:r>
        <w:rPr>
          <w:sz w:val="28"/>
          <w:szCs w:val="28"/>
        </w:rPr>
        <w:t xml:space="preserve"> </w:t>
      </w:r>
      <w:r w:rsidRPr="0043609A">
        <w:rPr>
          <w:sz w:val="28"/>
          <w:szCs w:val="28"/>
        </w:rPr>
        <w:t xml:space="preserve">dự kiến </w:t>
      </w:r>
      <w:r>
        <w:rPr>
          <w:sz w:val="28"/>
          <w:szCs w:val="28"/>
        </w:rPr>
        <w:t xml:space="preserve">diện tích cà phê </w:t>
      </w:r>
      <w:r w:rsidRPr="0043609A">
        <w:rPr>
          <w:sz w:val="28"/>
          <w:szCs w:val="28"/>
        </w:rPr>
        <w:t>niên vụ 2019-2020 là 203.063 ha, năng suất bình quân ước 25,44 tạ/ha, tổng sản lượng ước đạt khoảng 465.000 tấn. Quan điểm của tỉnh Đắk Lắk không tăng diện tích cà phê ngoài quy hoạch, tập trung chuyển đổi diện tích cà phê kém hiệu, không đảm bảo nguồn nước sang các loại cây trồng khác, đẩy nhanh tiến độ thực hiện Kế hoạch tái canh cà phê đã được UBND tỉnh phê duyệt, nhằm nâng cao năng suất, sản lượng, chất lượng sản phẩm, đáp ứng nhu cầu xuất khẩu.</w:t>
      </w:r>
    </w:p>
    <w:p w:rsidR="000A4C29" w:rsidRDefault="000A4C29" w:rsidP="00E6789F">
      <w:pPr>
        <w:spacing w:before="120" w:after="120"/>
        <w:ind w:firstLine="720"/>
        <w:jc w:val="both"/>
        <w:rPr>
          <w:sz w:val="28"/>
          <w:szCs w:val="28"/>
        </w:rPr>
      </w:pPr>
      <w:r w:rsidRPr="00E6789F">
        <w:rPr>
          <w:i/>
          <w:iCs/>
          <w:sz w:val="28"/>
          <w:szCs w:val="28"/>
        </w:rPr>
        <w:lastRenderedPageBreak/>
        <w:t>Về</w:t>
      </w:r>
      <w:r w:rsidRPr="00E6789F">
        <w:rPr>
          <w:i/>
          <w:iCs/>
          <w:sz w:val="28"/>
          <w:szCs w:val="28"/>
          <w:lang w:val="vi-VN"/>
        </w:rPr>
        <w:t xml:space="preserve"> xuất khẩu</w:t>
      </w:r>
      <w:r w:rsidRPr="00E6789F">
        <w:rPr>
          <w:i/>
          <w:iCs/>
          <w:sz w:val="28"/>
          <w:szCs w:val="28"/>
        </w:rPr>
        <w:t>:</w:t>
      </w:r>
      <w:r w:rsidRPr="00E6789F">
        <w:rPr>
          <w:sz w:val="28"/>
          <w:szCs w:val="28"/>
        </w:rPr>
        <w:t xml:space="preserve"> dự kiến số lượng cà phê xuất khẩu cà phê niên vụ 2019-2020 </w:t>
      </w:r>
      <w:r>
        <w:rPr>
          <w:sz w:val="28"/>
          <w:szCs w:val="28"/>
        </w:rPr>
        <w:t>đạt</w:t>
      </w:r>
      <w:r w:rsidRPr="00E6789F">
        <w:rPr>
          <w:sz w:val="28"/>
          <w:szCs w:val="28"/>
        </w:rPr>
        <w:t xml:space="preserve"> 230.000 tấn, cụ thể: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3997"/>
        <w:gridCol w:w="2723"/>
      </w:tblGrid>
      <w:tr w:rsidR="000A4C29" w:rsidRPr="00421FC4">
        <w:tc>
          <w:tcPr>
            <w:tcW w:w="1080" w:type="dxa"/>
          </w:tcPr>
          <w:p w:rsidR="000A4C29" w:rsidRPr="00421FC4" w:rsidRDefault="000A4C29" w:rsidP="005D1596">
            <w:pPr>
              <w:jc w:val="center"/>
              <w:rPr>
                <w:b/>
                <w:bCs/>
                <w:sz w:val="28"/>
                <w:szCs w:val="28"/>
              </w:rPr>
            </w:pPr>
            <w:r w:rsidRPr="00421FC4">
              <w:rPr>
                <w:b/>
                <w:bCs/>
                <w:sz w:val="28"/>
                <w:szCs w:val="28"/>
              </w:rPr>
              <w:t>STT</w:t>
            </w:r>
          </w:p>
        </w:tc>
        <w:tc>
          <w:tcPr>
            <w:tcW w:w="3997" w:type="dxa"/>
          </w:tcPr>
          <w:p w:rsidR="000A4C29" w:rsidRPr="00421FC4" w:rsidRDefault="000A4C29" w:rsidP="005D1596">
            <w:pPr>
              <w:pStyle w:val="Heading5"/>
              <w:rPr>
                <w:sz w:val="28"/>
                <w:szCs w:val="28"/>
              </w:rPr>
            </w:pPr>
            <w:r w:rsidRPr="00421FC4">
              <w:rPr>
                <w:sz w:val="28"/>
                <w:szCs w:val="28"/>
              </w:rPr>
              <w:t>Niên vụ 201</w:t>
            </w:r>
            <w:r>
              <w:rPr>
                <w:sz w:val="28"/>
                <w:szCs w:val="28"/>
              </w:rPr>
              <w:t>9</w:t>
            </w:r>
            <w:r w:rsidRPr="00421FC4">
              <w:rPr>
                <w:sz w:val="28"/>
                <w:szCs w:val="28"/>
              </w:rPr>
              <w:t xml:space="preserve"> - 201</w:t>
            </w:r>
            <w:r>
              <w:rPr>
                <w:sz w:val="28"/>
                <w:szCs w:val="28"/>
              </w:rPr>
              <w:t>0</w:t>
            </w:r>
          </w:p>
        </w:tc>
        <w:tc>
          <w:tcPr>
            <w:tcW w:w="2723" w:type="dxa"/>
          </w:tcPr>
          <w:p w:rsidR="000A4C29" w:rsidRPr="00421FC4" w:rsidRDefault="000A4C29" w:rsidP="005D1596">
            <w:pPr>
              <w:jc w:val="center"/>
              <w:rPr>
                <w:b/>
                <w:bCs/>
                <w:sz w:val="28"/>
                <w:szCs w:val="28"/>
              </w:rPr>
            </w:pPr>
            <w:r w:rsidRPr="00421FC4">
              <w:rPr>
                <w:b/>
                <w:bCs/>
                <w:sz w:val="28"/>
                <w:szCs w:val="28"/>
              </w:rPr>
              <w:t>Số lượng (tấn)</w:t>
            </w:r>
          </w:p>
        </w:tc>
      </w:tr>
      <w:tr w:rsidR="000A4C29" w:rsidRPr="00421FC4">
        <w:tc>
          <w:tcPr>
            <w:tcW w:w="1080" w:type="dxa"/>
            <w:tcBorders>
              <w:bottom w:val="dotted" w:sz="4" w:space="0" w:color="auto"/>
            </w:tcBorders>
          </w:tcPr>
          <w:p w:rsidR="000A4C29" w:rsidRPr="00421FC4" w:rsidRDefault="000A4C29" w:rsidP="005D1596">
            <w:pPr>
              <w:jc w:val="center"/>
              <w:rPr>
                <w:sz w:val="28"/>
                <w:szCs w:val="28"/>
              </w:rPr>
            </w:pPr>
            <w:r w:rsidRPr="00421FC4">
              <w:rPr>
                <w:sz w:val="28"/>
                <w:szCs w:val="28"/>
              </w:rPr>
              <w:t>01</w:t>
            </w:r>
          </w:p>
        </w:tc>
        <w:tc>
          <w:tcPr>
            <w:tcW w:w="3997" w:type="dxa"/>
            <w:tcBorders>
              <w:bottom w:val="dotted" w:sz="4" w:space="0" w:color="auto"/>
            </w:tcBorders>
          </w:tcPr>
          <w:p w:rsidR="000A4C29" w:rsidRPr="00421FC4" w:rsidRDefault="000A4C29" w:rsidP="005D1596">
            <w:pPr>
              <w:jc w:val="both"/>
              <w:rPr>
                <w:sz w:val="28"/>
                <w:szCs w:val="28"/>
              </w:rPr>
            </w:pPr>
            <w:r w:rsidRPr="00421FC4">
              <w:rPr>
                <w:sz w:val="28"/>
                <w:szCs w:val="28"/>
              </w:rPr>
              <w:t>Quý 4 năm 201</w:t>
            </w:r>
            <w:r>
              <w:rPr>
                <w:sz w:val="28"/>
                <w:szCs w:val="28"/>
              </w:rPr>
              <w:t>9</w:t>
            </w:r>
          </w:p>
        </w:tc>
        <w:tc>
          <w:tcPr>
            <w:tcW w:w="2723" w:type="dxa"/>
            <w:tcBorders>
              <w:bottom w:val="dotted" w:sz="4" w:space="0" w:color="auto"/>
            </w:tcBorders>
            <w:vAlign w:val="bottom"/>
          </w:tcPr>
          <w:p w:rsidR="000A4C29" w:rsidRPr="00421FC4" w:rsidRDefault="000A4C29" w:rsidP="005D1596">
            <w:pPr>
              <w:jc w:val="right"/>
              <w:rPr>
                <w:sz w:val="28"/>
                <w:szCs w:val="28"/>
              </w:rPr>
            </w:pPr>
            <w:r>
              <w:rPr>
                <w:sz w:val="28"/>
                <w:szCs w:val="28"/>
              </w:rPr>
              <w:t>4</w:t>
            </w:r>
            <w:r w:rsidRPr="00421FC4">
              <w:rPr>
                <w:sz w:val="28"/>
                <w:szCs w:val="28"/>
              </w:rPr>
              <w:t>0.000</w:t>
            </w:r>
          </w:p>
        </w:tc>
      </w:tr>
      <w:tr w:rsidR="000A4C29" w:rsidRPr="00421FC4">
        <w:tc>
          <w:tcPr>
            <w:tcW w:w="1080" w:type="dxa"/>
            <w:tcBorders>
              <w:top w:val="dotted" w:sz="4" w:space="0" w:color="auto"/>
              <w:bottom w:val="dotted" w:sz="4" w:space="0" w:color="auto"/>
            </w:tcBorders>
          </w:tcPr>
          <w:p w:rsidR="000A4C29" w:rsidRPr="00421FC4" w:rsidRDefault="000A4C29" w:rsidP="005D1596">
            <w:pPr>
              <w:jc w:val="center"/>
              <w:rPr>
                <w:sz w:val="28"/>
                <w:szCs w:val="28"/>
              </w:rPr>
            </w:pPr>
            <w:r w:rsidRPr="00421FC4">
              <w:rPr>
                <w:sz w:val="28"/>
                <w:szCs w:val="28"/>
              </w:rPr>
              <w:t>02</w:t>
            </w:r>
          </w:p>
        </w:tc>
        <w:tc>
          <w:tcPr>
            <w:tcW w:w="3997" w:type="dxa"/>
            <w:tcBorders>
              <w:top w:val="dotted" w:sz="4" w:space="0" w:color="auto"/>
              <w:bottom w:val="dotted" w:sz="4" w:space="0" w:color="auto"/>
            </w:tcBorders>
          </w:tcPr>
          <w:p w:rsidR="000A4C29" w:rsidRPr="00421FC4" w:rsidRDefault="000A4C29" w:rsidP="005D1596">
            <w:pPr>
              <w:jc w:val="both"/>
              <w:rPr>
                <w:sz w:val="28"/>
                <w:szCs w:val="28"/>
              </w:rPr>
            </w:pPr>
            <w:r w:rsidRPr="00421FC4">
              <w:rPr>
                <w:sz w:val="28"/>
                <w:szCs w:val="28"/>
              </w:rPr>
              <w:t>Quý 1 năm 20</w:t>
            </w:r>
            <w:r>
              <w:rPr>
                <w:sz w:val="28"/>
                <w:szCs w:val="28"/>
              </w:rPr>
              <w:t>20</w:t>
            </w:r>
          </w:p>
        </w:tc>
        <w:tc>
          <w:tcPr>
            <w:tcW w:w="2723" w:type="dxa"/>
            <w:tcBorders>
              <w:top w:val="dotted" w:sz="4" w:space="0" w:color="auto"/>
              <w:bottom w:val="dotted" w:sz="4" w:space="0" w:color="auto"/>
            </w:tcBorders>
            <w:vAlign w:val="bottom"/>
          </w:tcPr>
          <w:p w:rsidR="000A4C29" w:rsidRPr="00421FC4" w:rsidRDefault="000A4C29" w:rsidP="005D1596">
            <w:pPr>
              <w:jc w:val="right"/>
              <w:rPr>
                <w:sz w:val="28"/>
                <w:szCs w:val="28"/>
              </w:rPr>
            </w:pPr>
            <w:r>
              <w:rPr>
                <w:sz w:val="28"/>
                <w:szCs w:val="28"/>
              </w:rPr>
              <w:t>7</w:t>
            </w:r>
            <w:r w:rsidRPr="00421FC4">
              <w:rPr>
                <w:sz w:val="28"/>
                <w:szCs w:val="28"/>
              </w:rPr>
              <w:t>0.000</w:t>
            </w:r>
          </w:p>
        </w:tc>
      </w:tr>
      <w:tr w:rsidR="000A4C29" w:rsidRPr="00421FC4">
        <w:tc>
          <w:tcPr>
            <w:tcW w:w="1080" w:type="dxa"/>
            <w:tcBorders>
              <w:top w:val="dotted" w:sz="4" w:space="0" w:color="auto"/>
              <w:bottom w:val="dotted" w:sz="4" w:space="0" w:color="auto"/>
            </w:tcBorders>
          </w:tcPr>
          <w:p w:rsidR="000A4C29" w:rsidRPr="00421FC4" w:rsidRDefault="000A4C29" w:rsidP="005D1596">
            <w:pPr>
              <w:jc w:val="center"/>
              <w:rPr>
                <w:sz w:val="28"/>
                <w:szCs w:val="28"/>
              </w:rPr>
            </w:pPr>
            <w:r w:rsidRPr="00421FC4">
              <w:rPr>
                <w:sz w:val="28"/>
                <w:szCs w:val="28"/>
              </w:rPr>
              <w:t>03</w:t>
            </w:r>
          </w:p>
        </w:tc>
        <w:tc>
          <w:tcPr>
            <w:tcW w:w="3997" w:type="dxa"/>
            <w:tcBorders>
              <w:top w:val="dotted" w:sz="4" w:space="0" w:color="auto"/>
              <w:bottom w:val="dotted" w:sz="4" w:space="0" w:color="auto"/>
            </w:tcBorders>
          </w:tcPr>
          <w:p w:rsidR="000A4C29" w:rsidRPr="00421FC4" w:rsidRDefault="000A4C29" w:rsidP="005D1596">
            <w:pPr>
              <w:jc w:val="both"/>
              <w:rPr>
                <w:sz w:val="28"/>
                <w:szCs w:val="28"/>
              </w:rPr>
            </w:pPr>
            <w:r>
              <w:rPr>
                <w:sz w:val="28"/>
                <w:szCs w:val="28"/>
              </w:rPr>
              <w:t>Quý 2 năm 2020</w:t>
            </w:r>
          </w:p>
        </w:tc>
        <w:tc>
          <w:tcPr>
            <w:tcW w:w="2723" w:type="dxa"/>
            <w:tcBorders>
              <w:top w:val="dotted" w:sz="4" w:space="0" w:color="auto"/>
              <w:bottom w:val="dotted" w:sz="4" w:space="0" w:color="auto"/>
            </w:tcBorders>
            <w:vAlign w:val="bottom"/>
          </w:tcPr>
          <w:p w:rsidR="000A4C29" w:rsidRPr="00421FC4" w:rsidRDefault="000A4C29" w:rsidP="005D1596">
            <w:pPr>
              <w:jc w:val="right"/>
              <w:rPr>
                <w:sz w:val="28"/>
                <w:szCs w:val="28"/>
              </w:rPr>
            </w:pPr>
            <w:r>
              <w:rPr>
                <w:sz w:val="28"/>
                <w:szCs w:val="28"/>
              </w:rPr>
              <w:t>6</w:t>
            </w:r>
            <w:r w:rsidRPr="00421FC4">
              <w:rPr>
                <w:sz w:val="28"/>
                <w:szCs w:val="28"/>
              </w:rPr>
              <w:t>5.000</w:t>
            </w:r>
          </w:p>
        </w:tc>
      </w:tr>
      <w:tr w:rsidR="000A4C29" w:rsidRPr="00421FC4">
        <w:tc>
          <w:tcPr>
            <w:tcW w:w="1080" w:type="dxa"/>
            <w:tcBorders>
              <w:top w:val="dotted" w:sz="4" w:space="0" w:color="auto"/>
            </w:tcBorders>
          </w:tcPr>
          <w:p w:rsidR="000A4C29" w:rsidRPr="00421FC4" w:rsidRDefault="000A4C29" w:rsidP="005D1596">
            <w:pPr>
              <w:jc w:val="center"/>
              <w:rPr>
                <w:sz w:val="28"/>
                <w:szCs w:val="28"/>
              </w:rPr>
            </w:pPr>
            <w:r w:rsidRPr="00421FC4">
              <w:rPr>
                <w:sz w:val="28"/>
                <w:szCs w:val="28"/>
              </w:rPr>
              <w:t>04</w:t>
            </w:r>
          </w:p>
        </w:tc>
        <w:tc>
          <w:tcPr>
            <w:tcW w:w="3997" w:type="dxa"/>
            <w:tcBorders>
              <w:top w:val="dotted" w:sz="4" w:space="0" w:color="auto"/>
            </w:tcBorders>
          </w:tcPr>
          <w:p w:rsidR="000A4C29" w:rsidRPr="00421FC4" w:rsidRDefault="000A4C29" w:rsidP="005D1596">
            <w:pPr>
              <w:jc w:val="both"/>
              <w:rPr>
                <w:sz w:val="28"/>
                <w:szCs w:val="28"/>
              </w:rPr>
            </w:pPr>
            <w:r>
              <w:rPr>
                <w:sz w:val="28"/>
                <w:szCs w:val="28"/>
              </w:rPr>
              <w:t>Quý 3 năm 2020</w:t>
            </w:r>
          </w:p>
        </w:tc>
        <w:tc>
          <w:tcPr>
            <w:tcW w:w="2723" w:type="dxa"/>
            <w:tcBorders>
              <w:top w:val="dotted" w:sz="4" w:space="0" w:color="auto"/>
            </w:tcBorders>
            <w:vAlign w:val="bottom"/>
          </w:tcPr>
          <w:p w:rsidR="000A4C29" w:rsidRPr="00421FC4" w:rsidRDefault="000A4C29" w:rsidP="005D1596">
            <w:pPr>
              <w:jc w:val="right"/>
              <w:rPr>
                <w:sz w:val="28"/>
                <w:szCs w:val="28"/>
              </w:rPr>
            </w:pPr>
            <w:r w:rsidRPr="00421FC4">
              <w:rPr>
                <w:sz w:val="28"/>
                <w:szCs w:val="28"/>
              </w:rPr>
              <w:t>5</w:t>
            </w:r>
            <w:r>
              <w:rPr>
                <w:sz w:val="28"/>
                <w:szCs w:val="28"/>
              </w:rPr>
              <w:t>5</w:t>
            </w:r>
            <w:r w:rsidRPr="00421FC4">
              <w:rPr>
                <w:sz w:val="28"/>
                <w:szCs w:val="28"/>
              </w:rPr>
              <w:t>.000</w:t>
            </w:r>
          </w:p>
        </w:tc>
      </w:tr>
      <w:tr w:rsidR="000A4C29" w:rsidRPr="00421FC4">
        <w:tc>
          <w:tcPr>
            <w:tcW w:w="1080" w:type="dxa"/>
          </w:tcPr>
          <w:p w:rsidR="000A4C29" w:rsidRPr="00421FC4" w:rsidRDefault="000A4C29" w:rsidP="005D1596">
            <w:pPr>
              <w:jc w:val="both"/>
              <w:rPr>
                <w:sz w:val="28"/>
                <w:szCs w:val="28"/>
              </w:rPr>
            </w:pPr>
          </w:p>
        </w:tc>
        <w:tc>
          <w:tcPr>
            <w:tcW w:w="3997" w:type="dxa"/>
          </w:tcPr>
          <w:p w:rsidR="000A4C29" w:rsidRPr="00421FC4" w:rsidRDefault="000A4C29" w:rsidP="005D1596">
            <w:pPr>
              <w:pStyle w:val="Heading2"/>
              <w:rPr>
                <w:sz w:val="28"/>
                <w:szCs w:val="28"/>
                <w:u w:val="none"/>
              </w:rPr>
            </w:pPr>
            <w:r w:rsidRPr="00421FC4">
              <w:rPr>
                <w:sz w:val="28"/>
                <w:szCs w:val="28"/>
                <w:u w:val="none"/>
              </w:rPr>
              <w:t>Tổng cộng</w:t>
            </w:r>
          </w:p>
        </w:tc>
        <w:tc>
          <w:tcPr>
            <w:tcW w:w="2723" w:type="dxa"/>
            <w:vAlign w:val="bottom"/>
          </w:tcPr>
          <w:p w:rsidR="000A4C29" w:rsidRPr="00421FC4" w:rsidRDefault="000A4C29" w:rsidP="005D1596">
            <w:pPr>
              <w:jc w:val="right"/>
              <w:rPr>
                <w:b/>
                <w:bCs/>
                <w:sz w:val="28"/>
                <w:szCs w:val="28"/>
              </w:rPr>
            </w:pPr>
            <w:r w:rsidRPr="00421FC4">
              <w:rPr>
                <w:b/>
                <w:bCs/>
                <w:sz w:val="28"/>
                <w:szCs w:val="28"/>
              </w:rPr>
              <w:t>2</w:t>
            </w:r>
            <w:r>
              <w:rPr>
                <w:b/>
                <w:bCs/>
                <w:sz w:val="28"/>
                <w:szCs w:val="28"/>
              </w:rPr>
              <w:t>3</w:t>
            </w:r>
            <w:r w:rsidRPr="00421FC4">
              <w:rPr>
                <w:b/>
                <w:bCs/>
                <w:sz w:val="28"/>
                <w:szCs w:val="28"/>
              </w:rPr>
              <w:t>0.000</w:t>
            </w:r>
          </w:p>
        </w:tc>
      </w:tr>
    </w:tbl>
    <w:p w:rsidR="000A4C29" w:rsidRPr="00421FC4" w:rsidRDefault="000A4C29" w:rsidP="00421FC4">
      <w:pPr>
        <w:pStyle w:val="Heading6"/>
        <w:ind w:firstLine="720"/>
        <w:jc w:val="left"/>
      </w:pPr>
      <w:r w:rsidRPr="00421FC4">
        <w:t xml:space="preserve">C. </w:t>
      </w:r>
      <w:r>
        <w:t>MỘT SỐ GIẢI PHÁP VÀ KIẾN NGHỊ</w:t>
      </w:r>
    </w:p>
    <w:p w:rsidR="000A4C29" w:rsidRPr="00421FC4" w:rsidRDefault="000A4C29" w:rsidP="00421FC4">
      <w:pPr>
        <w:pStyle w:val="Heading1"/>
        <w:spacing w:before="120" w:after="120"/>
        <w:rPr>
          <w:sz w:val="28"/>
          <w:szCs w:val="28"/>
          <w:lang w:val="it-IT"/>
        </w:rPr>
      </w:pPr>
      <w:r w:rsidRPr="00421FC4">
        <w:rPr>
          <w:sz w:val="28"/>
          <w:szCs w:val="28"/>
        </w:rPr>
        <w:tab/>
      </w:r>
      <w:r w:rsidRPr="00421FC4">
        <w:rPr>
          <w:sz w:val="28"/>
          <w:szCs w:val="28"/>
          <w:lang w:val="it-IT"/>
        </w:rPr>
        <w:t>I. Một số giải pháp:</w:t>
      </w:r>
    </w:p>
    <w:p w:rsidR="000A4C29" w:rsidRPr="00421FC4" w:rsidRDefault="000A4C29" w:rsidP="00421FC4">
      <w:pPr>
        <w:spacing w:before="120" w:after="120"/>
        <w:ind w:firstLine="720"/>
        <w:jc w:val="both"/>
        <w:rPr>
          <w:sz w:val="28"/>
          <w:szCs w:val="28"/>
          <w:lang w:val="it-IT"/>
        </w:rPr>
      </w:pPr>
      <w:r w:rsidRPr="00421FC4">
        <w:rPr>
          <w:sz w:val="28"/>
          <w:szCs w:val="28"/>
          <w:lang w:val="it-IT"/>
        </w:rPr>
        <w:t>1. Triển khai thực hiện có hiệu quả Kế hoạch triển khai thực hiện Đề án Phát triển cà phê bền vững tỉnh Đắk Lắk đến năm 2020 và định hướng đến năm 2030 tại Quyết định số 3540/QĐ-UBND ngày 25/12/2017 của UBND tỉnh Đắk Lắk và Kế hoạch tái canh cà phê trên địa bàn tỉnh Đắk Lắk giai đoạn 2018-2010.</w:t>
      </w:r>
    </w:p>
    <w:p w:rsidR="000A4C29" w:rsidRPr="007D2958" w:rsidRDefault="000A4C29" w:rsidP="007D2958">
      <w:pPr>
        <w:pStyle w:val="BodyText"/>
        <w:shd w:val="clear" w:color="auto" w:fill="FFFFFF"/>
        <w:tabs>
          <w:tab w:val="left" w:pos="360"/>
        </w:tabs>
        <w:spacing w:before="120" w:after="120"/>
        <w:rPr>
          <w:sz w:val="28"/>
          <w:szCs w:val="28"/>
          <w:lang w:val="pt-BR"/>
        </w:rPr>
      </w:pPr>
      <w:r>
        <w:rPr>
          <w:sz w:val="28"/>
          <w:szCs w:val="28"/>
          <w:lang w:val="it-IT"/>
        </w:rPr>
        <w:tab/>
      </w:r>
      <w:r w:rsidRPr="007D2958">
        <w:rPr>
          <w:sz w:val="28"/>
          <w:szCs w:val="28"/>
          <w:lang w:val="it-IT"/>
        </w:rPr>
        <w:tab/>
        <w:t xml:space="preserve">2. </w:t>
      </w:r>
      <w:r w:rsidRPr="007D2958">
        <w:rPr>
          <w:sz w:val="28"/>
          <w:szCs w:val="28"/>
          <w:lang w:val="pt-BR"/>
        </w:rPr>
        <w:t>Xây dựng tại các vùng sản xuất cà phê theo chỉ dẫn địa lý, vùng sản xuất cà phê của đồng bào dân tộc thiểu số: Các mô hình tái canh áp dụng biện pháp sinh học tổng hợp, mô hình sản xuất cà phê tiết kiệm nước gắn với công nghệ thâm canh cao, mô hình sản xuất cà phê sạch; Công nghệ thu hái và chế biến cà phê sau thu hoạch</w:t>
      </w:r>
      <w:bookmarkStart w:id="1" w:name="_Toc437095737"/>
      <w:bookmarkStart w:id="2" w:name="_Toc437095838"/>
      <w:bookmarkStart w:id="3" w:name="_Toc437095939"/>
      <w:bookmarkStart w:id="4" w:name="_Toc437096182"/>
      <w:bookmarkStart w:id="5" w:name="_Toc441477843"/>
      <w:bookmarkStart w:id="6" w:name="_Toc441478040"/>
      <w:bookmarkStart w:id="7" w:name="_Toc441478237"/>
      <w:bookmarkStart w:id="8" w:name="_Toc448234330"/>
      <w:r w:rsidRPr="007D2958">
        <w:rPr>
          <w:sz w:val="28"/>
          <w:szCs w:val="28"/>
          <w:lang w:val="pt-BR"/>
        </w:rPr>
        <w:t>, ứng dụng các chế phẩm sinh học trong sản xuất và chế biến cà phê sạch nhằm nâng cao chất lượng sản phẩm hàng hóa phục vụ tiêu dùng và xuất khẩu</w:t>
      </w:r>
      <w:bookmarkEnd w:id="1"/>
      <w:bookmarkEnd w:id="2"/>
      <w:bookmarkEnd w:id="3"/>
      <w:bookmarkEnd w:id="4"/>
      <w:bookmarkEnd w:id="5"/>
      <w:bookmarkEnd w:id="6"/>
      <w:bookmarkEnd w:id="7"/>
      <w:bookmarkEnd w:id="8"/>
      <w:r w:rsidRPr="007D2958">
        <w:rPr>
          <w:sz w:val="28"/>
          <w:szCs w:val="28"/>
          <w:lang w:val="pt-BR"/>
        </w:rPr>
        <w:t xml:space="preserve"> thông qua </w:t>
      </w:r>
      <w:bookmarkStart w:id="9" w:name="_Toc437095738"/>
      <w:bookmarkStart w:id="10" w:name="_Toc437095839"/>
      <w:bookmarkStart w:id="11" w:name="_Toc437095940"/>
      <w:bookmarkStart w:id="12" w:name="_Toc437096183"/>
      <w:bookmarkStart w:id="13" w:name="_Toc441477844"/>
      <w:bookmarkStart w:id="14" w:name="_Toc441478041"/>
      <w:bookmarkStart w:id="15" w:name="_Toc441478238"/>
      <w:bookmarkStart w:id="16" w:name="_Toc448234331"/>
      <w:r w:rsidRPr="007D2958">
        <w:rPr>
          <w:sz w:val="28"/>
          <w:szCs w:val="28"/>
          <w:lang w:val="pt-BR"/>
        </w:rPr>
        <w:t>nâng cao nhận thức cho người sản xuất về vai trò của sản xuất cà phê bền vững đối với phát triển ngành hàng</w:t>
      </w:r>
      <w:bookmarkEnd w:id="9"/>
      <w:bookmarkEnd w:id="10"/>
      <w:bookmarkEnd w:id="11"/>
      <w:bookmarkEnd w:id="12"/>
      <w:bookmarkEnd w:id="13"/>
      <w:bookmarkEnd w:id="14"/>
      <w:bookmarkEnd w:id="15"/>
      <w:bookmarkEnd w:id="16"/>
      <w:r w:rsidRPr="007D2958">
        <w:rPr>
          <w:sz w:val="28"/>
          <w:szCs w:val="28"/>
          <w:lang w:val="pt-BR"/>
        </w:rPr>
        <w:t>.</w:t>
      </w:r>
    </w:p>
    <w:p w:rsidR="000A4C29" w:rsidRPr="007D2958" w:rsidRDefault="000A4C29" w:rsidP="007D2958">
      <w:pPr>
        <w:pStyle w:val="BodyText"/>
        <w:shd w:val="clear" w:color="auto" w:fill="FFFFFF"/>
        <w:tabs>
          <w:tab w:val="left" w:pos="360"/>
        </w:tabs>
        <w:spacing w:before="120" w:after="120"/>
        <w:rPr>
          <w:sz w:val="28"/>
          <w:szCs w:val="28"/>
          <w:lang w:val="pt-BR"/>
        </w:rPr>
      </w:pPr>
      <w:r w:rsidRPr="007D2958">
        <w:rPr>
          <w:sz w:val="28"/>
          <w:szCs w:val="28"/>
          <w:lang w:val="pt-BR"/>
        </w:rPr>
        <w:tab/>
      </w:r>
      <w:r w:rsidRPr="007D2958">
        <w:rPr>
          <w:sz w:val="28"/>
          <w:szCs w:val="28"/>
          <w:lang w:val="pt-BR"/>
        </w:rPr>
        <w:tab/>
      </w:r>
      <w:r>
        <w:rPr>
          <w:sz w:val="28"/>
          <w:szCs w:val="28"/>
          <w:lang w:val="pt-BR"/>
        </w:rPr>
        <w:t>3.</w:t>
      </w:r>
      <w:r w:rsidRPr="007D2958">
        <w:rPr>
          <w:sz w:val="28"/>
          <w:szCs w:val="28"/>
          <w:lang w:val="pt-BR"/>
        </w:rPr>
        <w:t xml:space="preserve"> Trên cơ sở định hướng của phát triển cà phê của tỉnh, ứng dụng công nghệ thông tin vào công tác quản lý sản xuất cà phê bền vững: Xây dựng phần mềm quản lý và đào tạo nhân lực ứng dụng công nghệ thông tin trong triển khai kế hoạch, kiểm tra giám sát sản xuất cà phê bền vững; lập bản đồ số lý lịch vườn cây, cập nhật cơ sở dữ liệu hàng năm về tình hình tái canh, cải tạo giống.</w:t>
      </w:r>
    </w:p>
    <w:p w:rsidR="000A4C29" w:rsidRPr="007D2958" w:rsidRDefault="000A4C29" w:rsidP="007D2958">
      <w:pPr>
        <w:pStyle w:val="BodyText"/>
        <w:spacing w:before="120" w:after="120"/>
        <w:rPr>
          <w:sz w:val="28"/>
          <w:szCs w:val="28"/>
        </w:rPr>
      </w:pPr>
      <w:r w:rsidRPr="007D2958">
        <w:rPr>
          <w:b/>
          <w:bCs/>
          <w:sz w:val="28"/>
          <w:szCs w:val="28"/>
        </w:rPr>
        <w:tab/>
      </w:r>
      <w:r w:rsidRPr="007D2958">
        <w:rPr>
          <w:sz w:val="28"/>
          <w:szCs w:val="28"/>
        </w:rPr>
        <w:t>4. Hỗ trợ t</w:t>
      </w:r>
      <w:r w:rsidRPr="007D2958">
        <w:rPr>
          <w:sz w:val="28"/>
          <w:szCs w:val="28"/>
          <w:lang w:val="vi-VN"/>
        </w:rPr>
        <w:t>hực hiện liên kết phát triển nông nghiệp ứng dụng công nghệ cao. Thúc đẩy tập quán canh tác bền vững trong đó có chú ý đến các vấn đề giảm thiểu mức sử dụng nước tưới, phân bón, hoá chất, cải thiện cảnh quan nông nghiệp và bảo vệ tài nguyên tự nhiên.</w:t>
      </w:r>
    </w:p>
    <w:p w:rsidR="000A4C29" w:rsidRPr="00421FC4" w:rsidRDefault="000A4C29" w:rsidP="00421FC4">
      <w:pPr>
        <w:spacing w:before="120" w:after="120"/>
        <w:ind w:firstLine="720"/>
        <w:jc w:val="both"/>
        <w:rPr>
          <w:sz w:val="28"/>
          <w:szCs w:val="28"/>
          <w:lang w:val="it-IT"/>
        </w:rPr>
      </w:pPr>
      <w:r>
        <w:rPr>
          <w:sz w:val="28"/>
          <w:szCs w:val="28"/>
          <w:lang w:val="it-IT"/>
        </w:rPr>
        <w:t>5</w:t>
      </w:r>
      <w:r w:rsidRPr="00421FC4">
        <w:rPr>
          <w:sz w:val="28"/>
          <w:szCs w:val="28"/>
          <w:lang w:val="it-IT"/>
        </w:rPr>
        <w:t>. Đào tạo tập huấn nâng cao năng lực cho đội ngũ cán bộ khoa học kỹ thuật, cán bộ khuyến công, khuyến công, cán bộ cơ sở về ứng dụng khoa học công nghệ trong sản xuất, chế biến và xử lý môi trường; Tổ chức tập huấn cho các nông hộ quy trình trồng xen cây hồ tiêu, cây bơ và sầu riêng trong vườn cà phê vối theo hướng dẫn của Bộ Nông nghiệp và PTNT.</w:t>
      </w:r>
    </w:p>
    <w:p w:rsidR="000A4C29" w:rsidRPr="00421FC4" w:rsidRDefault="000A4C29" w:rsidP="00421FC4">
      <w:pPr>
        <w:spacing w:before="120" w:after="120"/>
        <w:ind w:firstLine="539"/>
        <w:jc w:val="both"/>
        <w:rPr>
          <w:sz w:val="28"/>
          <w:szCs w:val="28"/>
          <w:lang w:val="pt-BR"/>
        </w:rPr>
      </w:pPr>
      <w:r>
        <w:rPr>
          <w:sz w:val="28"/>
          <w:szCs w:val="28"/>
          <w:lang w:val="sv-SE"/>
        </w:rPr>
        <w:t>6</w:t>
      </w:r>
      <w:r w:rsidRPr="00421FC4">
        <w:rPr>
          <w:sz w:val="28"/>
          <w:szCs w:val="28"/>
          <w:lang w:val="sv-SE"/>
        </w:rPr>
        <w:t xml:space="preserve">. </w:t>
      </w:r>
      <w:r w:rsidRPr="00421FC4">
        <w:rPr>
          <w:sz w:val="28"/>
          <w:szCs w:val="28"/>
          <w:lang w:val="pt-BR"/>
        </w:rPr>
        <w:t>Tăng cường xúc tiến, mời gọi các nhà đầu tư lớn, có kinh nghiệm, đã và đang đầu tư các dự án chế biến cà phê chuyên sâu (chế biến tinh) tại Việt Nam như: Nestlé, Vinacafé Biên Hòa, NutiFood, Starbucks, Highland Coffee</w:t>
      </w:r>
      <w:r w:rsidRPr="00421FC4">
        <w:rPr>
          <w:sz w:val="28"/>
          <w:szCs w:val="28"/>
          <w:shd w:val="clear" w:color="auto" w:fill="FFFFFF"/>
          <w:lang w:val="pt-BR"/>
        </w:rPr>
        <w:t xml:space="preserve">, </w:t>
      </w:r>
      <w:r w:rsidRPr="00421FC4">
        <w:rPr>
          <w:sz w:val="28"/>
          <w:szCs w:val="28"/>
          <w:lang w:val="pt-BR"/>
        </w:rPr>
        <w:t>Tập đoàn Neumann Kaffee Gruppe... đầu tư vào tỉnh thông qua các hội nghị, hội thảo mang tầm quốc gia, quốc tế; đẩy mạnh hoạt động xúc tiến đầu tư, thương mại tại các hội chợ, triển lãm ở trong và ngoài nước.</w:t>
      </w:r>
    </w:p>
    <w:p w:rsidR="000A4C29" w:rsidRPr="00421FC4" w:rsidRDefault="000A4C29" w:rsidP="00421FC4">
      <w:pPr>
        <w:spacing w:before="120" w:after="120"/>
        <w:ind w:firstLine="720"/>
        <w:jc w:val="both"/>
        <w:rPr>
          <w:sz w:val="28"/>
          <w:szCs w:val="28"/>
          <w:lang w:val="it-IT"/>
        </w:rPr>
      </w:pPr>
      <w:r>
        <w:rPr>
          <w:sz w:val="28"/>
          <w:szCs w:val="28"/>
          <w:lang w:val="it-IT"/>
        </w:rPr>
        <w:lastRenderedPageBreak/>
        <w:t>7</w:t>
      </w:r>
      <w:r w:rsidRPr="00421FC4">
        <w:rPr>
          <w:sz w:val="28"/>
          <w:szCs w:val="28"/>
          <w:lang w:val="it-IT"/>
        </w:rPr>
        <w:t>. Hỗ trợ kinh phí trong việc đăng ký bảo hộ thương hiệu cà phê Buôn Ma Thuột. Hỗ trợ doanh nghiệp nắm bắt thông tin giá cả, tìm kiếm, mở rộng thị trường xuất khẩu, kết nối và thúc đẩy hợp tác kinh doanh với các đối tác trong và ngoài nước. Có chính sách hỗ trợ danh nghiệp mở rộng thị trường xuất khẩu mới; tham gia các hội chợ chuyên ngành cà phê nhằm tìm kiếm cơ hội hợp tác, xuất khẩu cà phê.</w:t>
      </w:r>
    </w:p>
    <w:p w:rsidR="000A4C29" w:rsidRPr="00421FC4" w:rsidRDefault="000A4C29" w:rsidP="00421FC4">
      <w:pPr>
        <w:pStyle w:val="BodyText"/>
        <w:spacing w:before="120" w:after="120"/>
        <w:ind w:firstLine="720"/>
        <w:rPr>
          <w:sz w:val="28"/>
          <w:szCs w:val="28"/>
          <w:lang w:val="it-IT"/>
        </w:rPr>
      </w:pPr>
      <w:r w:rsidRPr="00421FC4">
        <w:rPr>
          <w:b/>
          <w:bCs/>
          <w:sz w:val="28"/>
          <w:szCs w:val="28"/>
          <w:lang w:val="it-IT"/>
        </w:rPr>
        <w:t>II. Kiến nghị với cấp Bộ, ngành Trung ương, Hiệp hội Cà phê - Ca cao Việt Nam:</w:t>
      </w:r>
    </w:p>
    <w:p w:rsidR="000A4C29" w:rsidRPr="00421FC4" w:rsidRDefault="000A4C29" w:rsidP="00421FC4">
      <w:pPr>
        <w:pStyle w:val="BodyText"/>
        <w:spacing w:before="120" w:after="120"/>
        <w:ind w:firstLine="720"/>
        <w:rPr>
          <w:sz w:val="28"/>
          <w:szCs w:val="28"/>
          <w:lang w:val="it-IT"/>
        </w:rPr>
      </w:pPr>
      <w:r>
        <w:rPr>
          <w:sz w:val="28"/>
          <w:szCs w:val="28"/>
          <w:lang w:val="it-IT"/>
        </w:rPr>
        <w:t xml:space="preserve">1. </w:t>
      </w:r>
      <w:r w:rsidRPr="00421FC4">
        <w:rPr>
          <w:sz w:val="28"/>
          <w:szCs w:val="28"/>
          <w:lang w:val="it-IT"/>
        </w:rPr>
        <w:t xml:space="preserve"> Đề nghị Ngân hàng Nhà nước Việt Nam chỉ đạo các ngân hàng thương  mại trên địa bàn tỉnh tiếp tục ưu tiên nguồn vốn cho các doanh nghiệp vay để thu mua kịp thời cà phê trong niên vụ 201</w:t>
      </w:r>
      <w:r>
        <w:rPr>
          <w:sz w:val="28"/>
          <w:szCs w:val="28"/>
          <w:lang w:val="it-IT"/>
        </w:rPr>
        <w:t>9-2020</w:t>
      </w:r>
      <w:r w:rsidRPr="00421FC4">
        <w:rPr>
          <w:sz w:val="28"/>
          <w:szCs w:val="28"/>
          <w:lang w:val="it-IT"/>
        </w:rPr>
        <w:t>, nhất là nguồn vốn vay để đầu tư tái canh cà phê, đầu tư máy móc thiết bị chế biến, hệ thống xử lý nước thải. Hỗ trợ lãi suất đối với vốn vay cho những doanh nghiệp đầu tư nhằm đổi mới trang thiết bị công nghệ.</w:t>
      </w:r>
    </w:p>
    <w:p w:rsidR="000A4C29" w:rsidRPr="00421FC4" w:rsidRDefault="000A4C29" w:rsidP="00421FC4">
      <w:pPr>
        <w:pStyle w:val="BodyText"/>
        <w:spacing w:before="120" w:after="120"/>
        <w:ind w:firstLine="720"/>
        <w:rPr>
          <w:sz w:val="28"/>
          <w:szCs w:val="28"/>
          <w:lang w:val="it-IT"/>
        </w:rPr>
      </w:pPr>
      <w:r>
        <w:rPr>
          <w:sz w:val="28"/>
          <w:szCs w:val="28"/>
          <w:lang w:val="it-IT"/>
        </w:rPr>
        <w:t xml:space="preserve">2. </w:t>
      </w:r>
      <w:r w:rsidRPr="00421FC4">
        <w:rPr>
          <w:sz w:val="28"/>
          <w:szCs w:val="28"/>
          <w:lang w:val="it-IT"/>
        </w:rPr>
        <w:t>Đề nghị Bộ Công Thương hàng năm hỗ trợ nguồn kinh phí xúc tiến thương mại quốc gia cho tỉnh Đắk Lắk để đẩy mạnh công tác xúc tiến, tìm kiếm thị trường, quảng bá sản phẩm cà phê nhất là sản phẩm cà phê có Chỉ dẫn địa lý “cà phê Buôn Ma Thuột”; hỗ trợ cho các doanh nghiệp cà phê của tỉnh đưa sản phẩm cà phê vào bán tại các siêu thị trong nước.</w:t>
      </w:r>
      <w:r w:rsidRPr="007D77B3">
        <w:rPr>
          <w:lang w:val="vi-VN"/>
        </w:rPr>
        <w:t xml:space="preserve"> </w:t>
      </w:r>
      <w:r>
        <w:t>Bên cạnh đó, đ</w:t>
      </w:r>
      <w:r w:rsidRPr="009810E7">
        <w:rPr>
          <w:lang w:val="vi-VN"/>
        </w:rPr>
        <w:t xml:space="preserve">ề hình thành các nhà máy chế biến gắn với vùng nguyên liệu đề nghị </w:t>
      </w:r>
      <w:r>
        <w:t>Bộ Công Thương xây dựng</w:t>
      </w:r>
      <w:r w:rsidRPr="009810E7">
        <w:rPr>
          <w:lang w:val="vi-VN"/>
        </w:rPr>
        <w:t xml:space="preserve"> có chính sách giảm thuế cho các doanh nghiệp đầu tư chế biến tại Tây Nguyên./.</w:t>
      </w:r>
    </w:p>
    <w:p w:rsidR="000A4C29" w:rsidRPr="00421FC4" w:rsidRDefault="000A4C29" w:rsidP="00421FC4">
      <w:pPr>
        <w:spacing w:before="120" w:after="120"/>
        <w:ind w:firstLine="720"/>
        <w:jc w:val="both"/>
        <w:rPr>
          <w:sz w:val="28"/>
          <w:szCs w:val="28"/>
          <w:lang w:val="it-IT"/>
        </w:rPr>
      </w:pPr>
      <w:r>
        <w:rPr>
          <w:sz w:val="28"/>
          <w:szCs w:val="28"/>
          <w:lang w:val="it-IT"/>
        </w:rPr>
        <w:t>3.</w:t>
      </w:r>
      <w:r w:rsidRPr="00421FC4">
        <w:rPr>
          <w:sz w:val="28"/>
          <w:szCs w:val="28"/>
          <w:lang w:val="it-IT"/>
        </w:rPr>
        <w:t xml:space="preserve"> Đề nghị Bộ Nông nghiệp và Phát triển nông thôn hỗ trợ cho tỉnh </w:t>
      </w:r>
      <w:r>
        <w:rPr>
          <w:sz w:val="28"/>
          <w:szCs w:val="28"/>
          <w:lang w:val="it-IT"/>
        </w:rPr>
        <w:t>xây dựng Đề án phát triển cà phê đặc sản tỉnh Đắk Lắk; Hỗ trợ nguồn kinh phí cho công tác chuyển đổi cơ cấu cây trồng trên diện tích cà phê không phù hợp, kém hiệu quả, thiếu nguồn nước sang các loại cây trồng khác.</w:t>
      </w:r>
    </w:p>
    <w:p w:rsidR="000A4C29" w:rsidRDefault="000A4C29" w:rsidP="00DF52D4">
      <w:pPr>
        <w:pStyle w:val="BodyText"/>
        <w:spacing w:before="120" w:after="120"/>
        <w:ind w:firstLine="720"/>
        <w:rPr>
          <w:sz w:val="28"/>
          <w:szCs w:val="28"/>
          <w:lang w:val="it-IT"/>
        </w:rPr>
      </w:pPr>
      <w:r>
        <w:rPr>
          <w:sz w:val="28"/>
          <w:szCs w:val="28"/>
          <w:lang w:val="it-IT"/>
        </w:rPr>
        <w:t xml:space="preserve">4. </w:t>
      </w:r>
      <w:r w:rsidRPr="002B7086">
        <w:rPr>
          <w:sz w:val="28"/>
          <w:szCs w:val="28"/>
          <w:lang w:val="it-IT"/>
        </w:rPr>
        <w:t xml:space="preserve">Đề nghị Hiệp hội Cà phê - Ca cao Việt Nam tiếp tục hỗ trợ Hiệp hội cà phê Buôn Ma Thuột trong bảo hộ và phát triển thương hiệu, phát triển cà phê đặc sản Việt Nam. </w:t>
      </w:r>
      <w:r>
        <w:rPr>
          <w:sz w:val="28"/>
          <w:szCs w:val="28"/>
          <w:lang w:val="it-IT"/>
        </w:rPr>
        <w:t xml:space="preserve">Xem xét trích nguồn thu phí xuất khẩu cà phê hỗ trợ cho </w:t>
      </w:r>
      <w:r w:rsidRPr="002B7086">
        <w:rPr>
          <w:sz w:val="28"/>
          <w:szCs w:val="28"/>
          <w:lang w:val="it-IT"/>
        </w:rPr>
        <w:t>Hiệp hội cà phê Buôn Ma Thuột</w:t>
      </w:r>
      <w:r>
        <w:rPr>
          <w:sz w:val="28"/>
          <w:szCs w:val="28"/>
          <w:lang w:val="it-IT"/>
        </w:rPr>
        <w:t xml:space="preserve"> hoạt động.</w:t>
      </w:r>
    </w:p>
    <w:p w:rsidR="000A4C29" w:rsidRPr="00421FC4" w:rsidRDefault="000A4C29" w:rsidP="00421FC4">
      <w:pPr>
        <w:pStyle w:val="BodyText"/>
        <w:spacing w:before="120" w:after="120"/>
        <w:ind w:firstLine="720"/>
        <w:rPr>
          <w:sz w:val="28"/>
          <w:szCs w:val="28"/>
          <w:lang w:val="it-IT"/>
        </w:rPr>
      </w:pPr>
      <w:r w:rsidRPr="00421FC4">
        <w:rPr>
          <w:sz w:val="28"/>
          <w:szCs w:val="28"/>
          <w:lang w:val="it-IT"/>
        </w:rPr>
        <w:t>Trên đây là báo cáo tổng kết đánh giá tình hình sản xuất, chế biến và tiêu thụ cà phê niên vụ 201</w:t>
      </w:r>
      <w:r>
        <w:rPr>
          <w:sz w:val="28"/>
          <w:szCs w:val="28"/>
          <w:lang w:val="it-IT"/>
        </w:rPr>
        <w:t>8</w:t>
      </w:r>
      <w:r w:rsidRPr="00421FC4">
        <w:rPr>
          <w:sz w:val="28"/>
          <w:szCs w:val="28"/>
          <w:lang w:val="it-IT"/>
        </w:rPr>
        <w:t>-201</w:t>
      </w:r>
      <w:r>
        <w:rPr>
          <w:sz w:val="28"/>
          <w:szCs w:val="28"/>
          <w:lang w:val="it-IT"/>
        </w:rPr>
        <w:t>9</w:t>
      </w:r>
      <w:r w:rsidRPr="00421FC4">
        <w:rPr>
          <w:sz w:val="28"/>
          <w:szCs w:val="28"/>
          <w:lang w:val="it-IT"/>
        </w:rPr>
        <w:t xml:space="preserve"> và kế hoạch niên vụ 20</w:t>
      </w:r>
      <w:r>
        <w:rPr>
          <w:sz w:val="28"/>
          <w:szCs w:val="28"/>
          <w:lang w:val="it-IT"/>
        </w:rPr>
        <w:t>19</w:t>
      </w:r>
      <w:r w:rsidRPr="00421FC4">
        <w:rPr>
          <w:sz w:val="28"/>
          <w:szCs w:val="28"/>
          <w:lang w:val="it-IT"/>
        </w:rPr>
        <w:t>-20</w:t>
      </w:r>
      <w:r>
        <w:rPr>
          <w:sz w:val="28"/>
          <w:szCs w:val="28"/>
          <w:lang w:val="it-IT"/>
        </w:rPr>
        <w:t>20</w:t>
      </w:r>
      <w:r w:rsidRPr="00421FC4">
        <w:rPr>
          <w:sz w:val="28"/>
          <w:szCs w:val="28"/>
          <w:lang w:val="it-IT"/>
        </w:rPr>
        <w:t>./.</w:t>
      </w:r>
    </w:p>
    <w:tbl>
      <w:tblPr>
        <w:tblW w:w="9848" w:type="dxa"/>
        <w:tblInd w:w="2" w:type="dxa"/>
        <w:tblLayout w:type="fixed"/>
        <w:tblLook w:val="01E0"/>
      </w:tblPr>
      <w:tblGrid>
        <w:gridCol w:w="3828"/>
        <w:gridCol w:w="6020"/>
      </w:tblGrid>
      <w:tr w:rsidR="000A4C29" w:rsidRPr="00D8702D">
        <w:tc>
          <w:tcPr>
            <w:tcW w:w="3828" w:type="dxa"/>
          </w:tcPr>
          <w:p w:rsidR="000A4C29" w:rsidRPr="00084CA8" w:rsidRDefault="000A4C29" w:rsidP="006918CB">
            <w:pPr>
              <w:pStyle w:val="BodyTextIndent2"/>
              <w:ind w:firstLine="0"/>
              <w:rPr>
                <w:rFonts w:ascii="Times New Roman" w:hAnsi="Times New Roman" w:cs="Times New Roman"/>
                <w:b/>
                <w:bCs/>
                <w:color w:val="000000"/>
                <w:sz w:val="24"/>
                <w:szCs w:val="24"/>
                <w:lang w:val="it-IT"/>
              </w:rPr>
            </w:pPr>
            <w:r w:rsidRPr="00084CA8">
              <w:rPr>
                <w:rFonts w:ascii="Times New Roman" w:hAnsi="Times New Roman" w:cs="Times New Roman"/>
                <w:b/>
                <w:bCs/>
                <w:i/>
                <w:iCs/>
                <w:color w:val="000000"/>
                <w:sz w:val="24"/>
                <w:szCs w:val="24"/>
                <w:lang w:val="it-IT"/>
              </w:rPr>
              <w:t>Nơi nhận</w:t>
            </w:r>
            <w:r w:rsidRPr="00084CA8">
              <w:rPr>
                <w:rFonts w:ascii="Times New Roman" w:hAnsi="Times New Roman" w:cs="Times New Roman"/>
                <w:b/>
                <w:bCs/>
                <w:color w:val="000000"/>
                <w:sz w:val="24"/>
                <w:szCs w:val="24"/>
                <w:lang w:val="it-IT"/>
              </w:rPr>
              <w:t xml:space="preserve"> :</w:t>
            </w:r>
          </w:p>
          <w:p w:rsidR="000A4C29" w:rsidRPr="00FD50DD" w:rsidRDefault="000A4C29" w:rsidP="006918CB">
            <w:pPr>
              <w:pStyle w:val="BodyTextIndent2"/>
              <w:ind w:firstLine="0"/>
              <w:rPr>
                <w:rFonts w:ascii="Times New Roman" w:hAnsi="Times New Roman" w:cs="Times New Roman"/>
                <w:b/>
                <w:bCs/>
                <w:color w:val="000000"/>
                <w:sz w:val="22"/>
                <w:szCs w:val="22"/>
                <w:lang w:val="it-IT"/>
              </w:rPr>
            </w:pPr>
            <w:r w:rsidRPr="00FD50DD">
              <w:rPr>
                <w:rFonts w:ascii="Times New Roman" w:hAnsi="Times New Roman" w:cs="Times New Roman"/>
                <w:color w:val="000000"/>
                <w:sz w:val="22"/>
                <w:szCs w:val="22"/>
                <w:lang w:val="it-IT"/>
              </w:rPr>
              <w:t>-</w:t>
            </w:r>
            <w:r w:rsidRPr="00FD50DD">
              <w:rPr>
                <w:rFonts w:ascii="Times New Roman" w:hAnsi="Times New Roman" w:cs="Times New Roman"/>
                <w:b/>
                <w:bCs/>
                <w:color w:val="000000"/>
                <w:sz w:val="22"/>
                <w:szCs w:val="22"/>
                <w:lang w:val="it-IT"/>
              </w:rPr>
              <w:t xml:space="preserve"> </w:t>
            </w:r>
            <w:r w:rsidRPr="00FD50DD">
              <w:rPr>
                <w:rFonts w:ascii="Times New Roman" w:hAnsi="Times New Roman" w:cs="Times New Roman"/>
                <w:color w:val="000000"/>
                <w:sz w:val="22"/>
                <w:szCs w:val="22"/>
                <w:lang w:val="it-IT"/>
              </w:rPr>
              <w:t>Văn phòng Chính phủ;</w:t>
            </w:r>
          </w:p>
          <w:p w:rsidR="000A4C29" w:rsidRPr="00FD50DD"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Các Bộ: NN&amp;PTNT,CT,</w:t>
            </w:r>
          </w:p>
          <w:p w:rsidR="000A4C29" w:rsidRPr="00FD50DD"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xml:space="preserve">  KH&amp;ĐT,Tài chính, KH&amp;CN; </w:t>
            </w:r>
          </w:p>
          <w:p w:rsidR="000A4C29"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Ngân hàng Nhà nước Việt Nam;</w:t>
            </w:r>
          </w:p>
          <w:p w:rsidR="000A4C29" w:rsidRPr="00FD50DD" w:rsidRDefault="000A4C29" w:rsidP="006918CB">
            <w:pPr>
              <w:pStyle w:val="BodyTextIndent2"/>
              <w:ind w:firstLine="0"/>
              <w:rPr>
                <w:rFonts w:ascii="Times New Roman" w:hAnsi="Times New Roman" w:cs="Times New Roman"/>
                <w:color w:val="000000"/>
                <w:sz w:val="22"/>
                <w:szCs w:val="22"/>
                <w:lang w:val="it-IT"/>
              </w:rPr>
            </w:pPr>
            <w:r>
              <w:rPr>
                <w:rFonts w:ascii="Times New Roman" w:hAnsi="Times New Roman" w:cs="Times New Roman"/>
                <w:color w:val="000000"/>
                <w:sz w:val="22"/>
                <w:szCs w:val="22"/>
                <w:lang w:val="it-IT"/>
              </w:rPr>
              <w:t>- Hiệp hội cà phê ca cao Việt Nam;</w:t>
            </w:r>
          </w:p>
          <w:p w:rsidR="000A4C29" w:rsidRPr="00FD50DD"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TT. Tỉnh ủy. TT.HĐND tỉnh;</w:t>
            </w:r>
          </w:p>
          <w:p w:rsidR="000A4C29" w:rsidRPr="00FD50DD"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xml:space="preserve">- Lãnh đạo UBND tỉnh; </w:t>
            </w:r>
          </w:p>
          <w:p w:rsidR="000A4C29" w:rsidRPr="00FD50DD"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Các Sở: NN-PTNT, TN&amp;MT, CT, TC, KH&amp;ĐT, KH&amp;CN, TT&amp;TT;</w:t>
            </w:r>
          </w:p>
          <w:p w:rsidR="000A4C29" w:rsidRPr="00FD50DD"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Lãnh đạo VP.UBND tỉnh;</w:t>
            </w:r>
          </w:p>
          <w:p w:rsidR="000A4C29" w:rsidRPr="00FD50DD"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Ngân hàng NN - CN Đắk Lắk;</w:t>
            </w:r>
          </w:p>
          <w:p w:rsidR="000A4C29" w:rsidRPr="00FD50DD"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UBND các huyện, TX, TP;</w:t>
            </w:r>
          </w:p>
          <w:p w:rsidR="000A4C29" w:rsidRPr="00FD50DD" w:rsidRDefault="000A4C29" w:rsidP="006918CB">
            <w:pPr>
              <w:pStyle w:val="BodyTextIndent2"/>
              <w:ind w:firstLine="0"/>
              <w:rPr>
                <w:rFonts w:ascii="Times New Roman" w:hAnsi="Times New Roman" w:cs="Times New Roman"/>
                <w:color w:val="000000"/>
                <w:sz w:val="22"/>
                <w:szCs w:val="22"/>
                <w:lang w:val="it-IT"/>
              </w:rPr>
            </w:pPr>
            <w:r w:rsidRPr="00FD50DD">
              <w:rPr>
                <w:rFonts w:ascii="Times New Roman" w:hAnsi="Times New Roman" w:cs="Times New Roman"/>
                <w:color w:val="000000"/>
                <w:sz w:val="22"/>
                <w:szCs w:val="22"/>
                <w:lang w:val="it-IT"/>
              </w:rPr>
              <w:t xml:space="preserve">- Các phòng: TH, NN&amp;MT; </w:t>
            </w:r>
          </w:p>
          <w:p w:rsidR="000A4C29" w:rsidRPr="009D3697" w:rsidRDefault="000A4C29" w:rsidP="006918CB">
            <w:pPr>
              <w:pStyle w:val="BodyTextIndent2"/>
              <w:ind w:firstLine="0"/>
              <w:rPr>
                <w:rFonts w:ascii="Times New Roman" w:hAnsi="Times New Roman" w:cs="Times New Roman"/>
                <w:color w:val="000000"/>
                <w:sz w:val="24"/>
                <w:szCs w:val="24"/>
                <w:lang w:val="it-IT"/>
              </w:rPr>
            </w:pPr>
            <w:r w:rsidRPr="00FD50DD">
              <w:rPr>
                <w:rFonts w:ascii="Times New Roman" w:hAnsi="Times New Roman" w:cs="Times New Roman"/>
                <w:color w:val="000000"/>
                <w:sz w:val="22"/>
                <w:szCs w:val="22"/>
                <w:lang w:val="it-IT"/>
              </w:rPr>
              <w:t>- Lưu: VT, TH, NN&amp;MT, TCTM.</w:t>
            </w:r>
          </w:p>
        </w:tc>
        <w:tc>
          <w:tcPr>
            <w:tcW w:w="6020" w:type="dxa"/>
          </w:tcPr>
          <w:p w:rsidR="000A4C29" w:rsidRPr="00D8702D" w:rsidRDefault="000A4C29" w:rsidP="006918CB">
            <w:pPr>
              <w:pStyle w:val="BodyTextIndent2"/>
              <w:ind w:firstLine="0"/>
              <w:jc w:val="center"/>
              <w:rPr>
                <w:rFonts w:ascii="Times New Roman" w:hAnsi="Times New Roman" w:cs="Times New Roman"/>
                <w:b/>
                <w:bCs/>
                <w:color w:val="000000"/>
                <w:sz w:val="27"/>
                <w:szCs w:val="27"/>
                <w:lang w:val="it-IT"/>
              </w:rPr>
            </w:pPr>
          </w:p>
          <w:p w:rsidR="000A4C29" w:rsidRPr="00D8702D" w:rsidRDefault="000A4C29" w:rsidP="006918CB">
            <w:pPr>
              <w:pStyle w:val="BodyTextIndent2"/>
              <w:ind w:firstLine="0"/>
              <w:jc w:val="center"/>
              <w:rPr>
                <w:rFonts w:ascii="Times New Roman" w:hAnsi="Times New Roman" w:cs="Times New Roman"/>
                <w:b/>
                <w:bCs/>
                <w:color w:val="000000"/>
                <w:sz w:val="27"/>
                <w:szCs w:val="27"/>
                <w:lang w:val="it-IT"/>
              </w:rPr>
            </w:pPr>
            <w:r w:rsidRPr="00D8702D">
              <w:rPr>
                <w:rFonts w:ascii="Times New Roman" w:hAnsi="Times New Roman" w:cs="Times New Roman"/>
                <w:b/>
                <w:bCs/>
                <w:color w:val="000000"/>
                <w:sz w:val="27"/>
                <w:szCs w:val="27"/>
                <w:lang w:val="it-IT"/>
              </w:rPr>
              <w:t>CHỦ TỊCH</w:t>
            </w:r>
          </w:p>
          <w:p w:rsidR="000A4C29" w:rsidRPr="00D8702D" w:rsidRDefault="000A4C29" w:rsidP="006918CB">
            <w:pPr>
              <w:pStyle w:val="BodyTextIndent2"/>
              <w:ind w:firstLine="0"/>
              <w:jc w:val="center"/>
              <w:rPr>
                <w:rFonts w:ascii="Times New Roman" w:hAnsi="Times New Roman" w:cs="Times New Roman"/>
                <w:b/>
                <w:bCs/>
                <w:color w:val="000000"/>
                <w:sz w:val="27"/>
                <w:szCs w:val="27"/>
                <w:lang w:val="it-IT"/>
              </w:rPr>
            </w:pPr>
          </w:p>
          <w:p w:rsidR="000A4C29" w:rsidRPr="00D8702D" w:rsidRDefault="000A4C29" w:rsidP="006918CB">
            <w:pPr>
              <w:pStyle w:val="BodyTextIndent2"/>
              <w:ind w:firstLine="0"/>
              <w:jc w:val="center"/>
              <w:rPr>
                <w:rFonts w:ascii="Times New Roman" w:hAnsi="Times New Roman" w:cs="Times New Roman"/>
                <w:b/>
                <w:bCs/>
                <w:color w:val="000000"/>
                <w:sz w:val="27"/>
                <w:szCs w:val="27"/>
                <w:lang w:val="it-IT"/>
              </w:rPr>
            </w:pPr>
          </w:p>
          <w:p w:rsidR="000A4C29" w:rsidRPr="00D8702D" w:rsidRDefault="000A4C29" w:rsidP="006918CB">
            <w:pPr>
              <w:pStyle w:val="BodyTextIndent2"/>
              <w:ind w:firstLine="0"/>
              <w:jc w:val="center"/>
              <w:rPr>
                <w:rFonts w:ascii="Times New Roman" w:hAnsi="Times New Roman" w:cs="Times New Roman"/>
                <w:b/>
                <w:bCs/>
                <w:color w:val="000000"/>
                <w:sz w:val="27"/>
                <w:szCs w:val="27"/>
                <w:lang w:val="it-IT"/>
              </w:rPr>
            </w:pPr>
          </w:p>
          <w:p w:rsidR="000A4C29" w:rsidRPr="00D8702D" w:rsidRDefault="000A4C29" w:rsidP="006918CB">
            <w:pPr>
              <w:pStyle w:val="BodyTextIndent2"/>
              <w:ind w:firstLine="0"/>
              <w:jc w:val="center"/>
              <w:rPr>
                <w:rFonts w:ascii="Times New Roman" w:hAnsi="Times New Roman" w:cs="Times New Roman"/>
                <w:b/>
                <w:bCs/>
                <w:color w:val="000000"/>
                <w:sz w:val="27"/>
                <w:szCs w:val="27"/>
                <w:lang w:val="it-IT"/>
              </w:rPr>
            </w:pPr>
          </w:p>
          <w:p w:rsidR="000A4C29" w:rsidRPr="00D8702D" w:rsidRDefault="000A4C29" w:rsidP="006918CB">
            <w:pPr>
              <w:pStyle w:val="BodyTextIndent2"/>
              <w:ind w:firstLine="0"/>
              <w:jc w:val="center"/>
              <w:rPr>
                <w:rFonts w:ascii="Times New Roman" w:hAnsi="Times New Roman" w:cs="Times New Roman"/>
                <w:b/>
                <w:bCs/>
                <w:color w:val="000000"/>
                <w:sz w:val="27"/>
                <w:szCs w:val="27"/>
                <w:lang w:val="it-IT"/>
              </w:rPr>
            </w:pPr>
          </w:p>
          <w:p w:rsidR="000A4C29" w:rsidRPr="00D8702D" w:rsidRDefault="000A4C29" w:rsidP="006918CB">
            <w:pPr>
              <w:pStyle w:val="BodyTextIndent2"/>
              <w:ind w:firstLine="0"/>
              <w:jc w:val="center"/>
              <w:rPr>
                <w:rFonts w:ascii="Times New Roman" w:hAnsi="Times New Roman" w:cs="Times New Roman"/>
                <w:b/>
                <w:bCs/>
                <w:color w:val="000000"/>
                <w:sz w:val="27"/>
                <w:szCs w:val="27"/>
                <w:lang w:val="it-IT"/>
              </w:rPr>
            </w:pPr>
          </w:p>
          <w:p w:rsidR="000A4C29" w:rsidRPr="00D8702D" w:rsidRDefault="000A4C29" w:rsidP="006918CB">
            <w:pPr>
              <w:pStyle w:val="BodyTextIndent2"/>
              <w:ind w:firstLine="0"/>
              <w:jc w:val="center"/>
              <w:rPr>
                <w:rFonts w:ascii="Times New Roman" w:hAnsi="Times New Roman" w:cs="Times New Roman"/>
                <w:b/>
                <w:bCs/>
                <w:color w:val="000000"/>
                <w:sz w:val="27"/>
                <w:szCs w:val="27"/>
              </w:rPr>
            </w:pPr>
          </w:p>
          <w:p w:rsidR="000A4C29" w:rsidRPr="00D8702D" w:rsidRDefault="000A4C29" w:rsidP="006918CB">
            <w:pPr>
              <w:pStyle w:val="BodyTextIndent2"/>
              <w:ind w:left="-90" w:hanging="3366"/>
              <w:jc w:val="left"/>
              <w:rPr>
                <w:rFonts w:ascii="Times New Roman" w:hAnsi="Times New Roman" w:cs="Times New Roman"/>
                <w:b/>
                <w:bCs/>
                <w:color w:val="000000"/>
                <w:sz w:val="27"/>
                <w:szCs w:val="27"/>
              </w:rPr>
            </w:pPr>
            <w:r w:rsidRPr="00D8702D">
              <w:rPr>
                <w:rFonts w:ascii="Times New Roman" w:hAnsi="Times New Roman" w:cs="Times New Roman"/>
                <w:b/>
                <w:bCs/>
                <w:color w:val="000000"/>
                <w:sz w:val="27"/>
                <w:szCs w:val="27"/>
              </w:rPr>
              <w:t xml:space="preserve">                                 </w:t>
            </w:r>
          </w:p>
          <w:p w:rsidR="000A4C29" w:rsidRPr="00D8702D" w:rsidRDefault="000A4C29" w:rsidP="006918CB">
            <w:pPr>
              <w:pStyle w:val="BodyTextIndent2"/>
              <w:ind w:left="-90" w:hanging="3366"/>
              <w:jc w:val="left"/>
              <w:rPr>
                <w:rFonts w:ascii="Times New Roman" w:hAnsi="Times New Roman" w:cs="Times New Roman"/>
                <w:b/>
                <w:bCs/>
                <w:color w:val="000000"/>
                <w:sz w:val="27"/>
                <w:szCs w:val="27"/>
              </w:rPr>
            </w:pPr>
          </w:p>
          <w:p w:rsidR="000A4C29" w:rsidRPr="00D8702D" w:rsidRDefault="000A4C29" w:rsidP="006918CB">
            <w:pPr>
              <w:pStyle w:val="BodyTextIndent2"/>
              <w:ind w:left="-90" w:hanging="3366"/>
              <w:jc w:val="left"/>
              <w:rPr>
                <w:rFonts w:ascii="Times New Roman" w:hAnsi="Times New Roman" w:cs="Times New Roman"/>
                <w:b/>
                <w:bCs/>
                <w:color w:val="000000"/>
                <w:sz w:val="27"/>
                <w:szCs w:val="27"/>
              </w:rPr>
            </w:pPr>
          </w:p>
        </w:tc>
      </w:tr>
    </w:tbl>
    <w:p w:rsidR="000A4C29" w:rsidRPr="00D8702D" w:rsidRDefault="000A4C29" w:rsidP="00F53A0C">
      <w:pPr>
        <w:rPr>
          <w:sz w:val="27"/>
          <w:szCs w:val="27"/>
        </w:rPr>
      </w:pPr>
    </w:p>
    <w:sectPr w:rsidR="000A4C29" w:rsidRPr="00D8702D" w:rsidSect="00D31874">
      <w:footerReference w:type="default" r:id="rId11"/>
      <w:pgSz w:w="11907" w:h="16840" w:code="9"/>
      <w:pgMar w:top="1134" w:right="1134" w:bottom="85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E92" w:rsidRDefault="00A44E92">
      <w:r>
        <w:separator/>
      </w:r>
    </w:p>
  </w:endnote>
  <w:endnote w:type="continuationSeparator" w:id="1">
    <w:p w:rsidR="00A44E92" w:rsidRDefault="00A44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29" w:rsidRDefault="001B6D63">
    <w:pPr>
      <w:pStyle w:val="Footer"/>
      <w:framePr w:wrap="auto" w:vAnchor="text" w:hAnchor="margin" w:xAlign="right" w:y="1"/>
      <w:rPr>
        <w:rStyle w:val="PageNumber"/>
      </w:rPr>
    </w:pPr>
    <w:r>
      <w:rPr>
        <w:rStyle w:val="PageNumber"/>
      </w:rPr>
      <w:fldChar w:fldCharType="begin"/>
    </w:r>
    <w:r w:rsidR="000A4C29">
      <w:rPr>
        <w:rStyle w:val="PageNumber"/>
      </w:rPr>
      <w:instrText xml:space="preserve">PAGE  </w:instrText>
    </w:r>
    <w:r>
      <w:rPr>
        <w:rStyle w:val="PageNumber"/>
      </w:rPr>
      <w:fldChar w:fldCharType="separate"/>
    </w:r>
    <w:r w:rsidR="00B75A52">
      <w:rPr>
        <w:rStyle w:val="PageNumber"/>
        <w:noProof/>
      </w:rPr>
      <w:t>1</w:t>
    </w:r>
    <w:r>
      <w:rPr>
        <w:rStyle w:val="PageNumber"/>
      </w:rPr>
      <w:fldChar w:fldCharType="end"/>
    </w:r>
  </w:p>
  <w:p w:rsidR="000A4C29" w:rsidRDefault="000A4C2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E92" w:rsidRDefault="00A44E92">
      <w:r>
        <w:separator/>
      </w:r>
    </w:p>
  </w:footnote>
  <w:footnote w:type="continuationSeparator" w:id="1">
    <w:p w:rsidR="00A44E92" w:rsidRDefault="00A44E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444"/>
    <w:multiLevelType w:val="hybridMultilevel"/>
    <w:tmpl w:val="F56CBC62"/>
    <w:lvl w:ilvl="0" w:tplc="3C3C4336">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nsid w:val="160B55F4"/>
    <w:multiLevelType w:val="hybridMultilevel"/>
    <w:tmpl w:val="D76A7EC0"/>
    <w:lvl w:ilvl="0" w:tplc="CCF20F9A">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nsid w:val="18180DA2"/>
    <w:multiLevelType w:val="hybridMultilevel"/>
    <w:tmpl w:val="0EA4F386"/>
    <w:lvl w:ilvl="0" w:tplc="8C0E7B14">
      <w:start w:val="3"/>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
    <w:nsid w:val="1F872D2C"/>
    <w:multiLevelType w:val="hybridMultilevel"/>
    <w:tmpl w:val="CD4C7DDE"/>
    <w:lvl w:ilvl="0" w:tplc="B52CD6AA">
      <w:numFmt w:val="bullet"/>
      <w:lvlText w:val="-"/>
      <w:lvlJc w:val="left"/>
      <w:pPr>
        <w:tabs>
          <w:tab w:val="num" w:pos="1605"/>
        </w:tabs>
        <w:ind w:left="1605" w:hanging="885"/>
      </w:pPr>
      <w:rPr>
        <w:rFonts w:ascii="Times New Roman" w:eastAsia="Times New Roman" w:hAnsi="Times New Roman" w:hint="default"/>
        <w:sz w:val="28"/>
        <w:szCs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24952F58"/>
    <w:multiLevelType w:val="hybridMultilevel"/>
    <w:tmpl w:val="013005D8"/>
    <w:lvl w:ilvl="0" w:tplc="36A8125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38525B97"/>
    <w:multiLevelType w:val="hybridMultilevel"/>
    <w:tmpl w:val="D3503F7E"/>
    <w:lvl w:ilvl="0" w:tplc="73AAA476">
      <w:start w:val="9"/>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6">
    <w:nsid w:val="43677871"/>
    <w:multiLevelType w:val="hybridMultilevel"/>
    <w:tmpl w:val="BA4A2170"/>
    <w:lvl w:ilvl="0" w:tplc="F59CE6F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5E5C40DF"/>
    <w:multiLevelType w:val="hybridMultilevel"/>
    <w:tmpl w:val="AFC83BB8"/>
    <w:lvl w:ilvl="0" w:tplc="8BA8257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61CB06EB"/>
    <w:multiLevelType w:val="hybridMultilevel"/>
    <w:tmpl w:val="E11ED852"/>
    <w:lvl w:ilvl="0" w:tplc="7AA4722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9">
    <w:nsid w:val="648C0ACB"/>
    <w:multiLevelType w:val="hybridMultilevel"/>
    <w:tmpl w:val="A5DECCE8"/>
    <w:lvl w:ilvl="0" w:tplc="DF5E9CCC">
      <w:start w:val="242"/>
      <w:numFmt w:val="bullet"/>
      <w:lvlText w:val="-"/>
      <w:lvlJc w:val="left"/>
      <w:pPr>
        <w:tabs>
          <w:tab w:val="num" w:pos="1680"/>
        </w:tabs>
        <w:ind w:left="1680" w:hanging="9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nsid w:val="685D7F6F"/>
    <w:multiLevelType w:val="hybridMultilevel"/>
    <w:tmpl w:val="E842D75E"/>
    <w:lvl w:ilvl="0" w:tplc="BAFA7A94">
      <w:start w:val="200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
    <w:nsid w:val="6913493A"/>
    <w:multiLevelType w:val="hybridMultilevel"/>
    <w:tmpl w:val="1C2C36B8"/>
    <w:lvl w:ilvl="0" w:tplc="ABB250CC">
      <w:start w:val="60"/>
      <w:numFmt w:val="bullet"/>
      <w:lvlText w:val="-"/>
      <w:lvlJc w:val="left"/>
      <w:pPr>
        <w:tabs>
          <w:tab w:val="num" w:pos="1080"/>
        </w:tabs>
        <w:ind w:left="1080" w:hanging="360"/>
      </w:pPr>
      <w:rPr>
        <w:rFonts w:ascii="Times New Roman" w:eastAsia="Times New Roman" w:hAnsi="Times New Roman" w:hint="default"/>
        <w:sz w:val="28"/>
        <w:szCs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6C8F052F"/>
    <w:multiLevelType w:val="hybridMultilevel"/>
    <w:tmpl w:val="F53ED442"/>
    <w:lvl w:ilvl="0" w:tplc="3A60C24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765F71B9"/>
    <w:multiLevelType w:val="hybridMultilevel"/>
    <w:tmpl w:val="AEA6AD5E"/>
    <w:lvl w:ilvl="0" w:tplc="8934248E">
      <w:start w:val="1"/>
      <w:numFmt w:val="bullet"/>
      <w:lvlText w:val="-"/>
      <w:lvlJc w:val="left"/>
      <w:pPr>
        <w:tabs>
          <w:tab w:val="num" w:pos="870"/>
        </w:tabs>
        <w:ind w:left="870" w:hanging="360"/>
      </w:pPr>
      <w:rPr>
        <w:rFonts w:ascii="Times New Roman" w:eastAsia="Times New Roman" w:hAnsi="Times New Roman" w:hint="default"/>
      </w:rPr>
    </w:lvl>
    <w:lvl w:ilvl="1" w:tplc="04090003">
      <w:start w:val="1"/>
      <w:numFmt w:val="bullet"/>
      <w:lvlText w:val="o"/>
      <w:lvlJc w:val="left"/>
      <w:pPr>
        <w:tabs>
          <w:tab w:val="num" w:pos="1590"/>
        </w:tabs>
        <w:ind w:left="1590" w:hanging="360"/>
      </w:pPr>
      <w:rPr>
        <w:rFonts w:ascii="Courier New" w:hAnsi="Courier New" w:cs="Courier New" w:hint="default"/>
      </w:rPr>
    </w:lvl>
    <w:lvl w:ilvl="2" w:tplc="04090005">
      <w:start w:val="1"/>
      <w:numFmt w:val="bullet"/>
      <w:lvlText w:val=""/>
      <w:lvlJc w:val="left"/>
      <w:pPr>
        <w:tabs>
          <w:tab w:val="num" w:pos="2310"/>
        </w:tabs>
        <w:ind w:left="2310" w:hanging="360"/>
      </w:pPr>
      <w:rPr>
        <w:rFonts w:ascii="Wingdings" w:hAnsi="Wingdings" w:cs="Wingdings" w:hint="default"/>
      </w:rPr>
    </w:lvl>
    <w:lvl w:ilvl="3" w:tplc="04090001">
      <w:start w:val="1"/>
      <w:numFmt w:val="bullet"/>
      <w:lvlText w:val=""/>
      <w:lvlJc w:val="left"/>
      <w:pPr>
        <w:tabs>
          <w:tab w:val="num" w:pos="3030"/>
        </w:tabs>
        <w:ind w:left="3030" w:hanging="360"/>
      </w:pPr>
      <w:rPr>
        <w:rFonts w:ascii="Symbol" w:hAnsi="Symbol" w:cs="Symbol" w:hint="default"/>
      </w:rPr>
    </w:lvl>
    <w:lvl w:ilvl="4" w:tplc="04090003">
      <w:start w:val="1"/>
      <w:numFmt w:val="bullet"/>
      <w:lvlText w:val="o"/>
      <w:lvlJc w:val="left"/>
      <w:pPr>
        <w:tabs>
          <w:tab w:val="num" w:pos="3750"/>
        </w:tabs>
        <w:ind w:left="3750" w:hanging="360"/>
      </w:pPr>
      <w:rPr>
        <w:rFonts w:ascii="Courier New" w:hAnsi="Courier New" w:cs="Courier New" w:hint="default"/>
      </w:rPr>
    </w:lvl>
    <w:lvl w:ilvl="5" w:tplc="04090005">
      <w:start w:val="1"/>
      <w:numFmt w:val="bullet"/>
      <w:lvlText w:val=""/>
      <w:lvlJc w:val="left"/>
      <w:pPr>
        <w:tabs>
          <w:tab w:val="num" w:pos="4470"/>
        </w:tabs>
        <w:ind w:left="4470" w:hanging="360"/>
      </w:pPr>
      <w:rPr>
        <w:rFonts w:ascii="Wingdings" w:hAnsi="Wingdings" w:cs="Wingdings" w:hint="default"/>
      </w:rPr>
    </w:lvl>
    <w:lvl w:ilvl="6" w:tplc="04090001">
      <w:start w:val="1"/>
      <w:numFmt w:val="bullet"/>
      <w:lvlText w:val=""/>
      <w:lvlJc w:val="left"/>
      <w:pPr>
        <w:tabs>
          <w:tab w:val="num" w:pos="5190"/>
        </w:tabs>
        <w:ind w:left="5190" w:hanging="360"/>
      </w:pPr>
      <w:rPr>
        <w:rFonts w:ascii="Symbol" w:hAnsi="Symbol" w:cs="Symbol" w:hint="default"/>
      </w:rPr>
    </w:lvl>
    <w:lvl w:ilvl="7" w:tplc="04090003">
      <w:start w:val="1"/>
      <w:numFmt w:val="bullet"/>
      <w:lvlText w:val="o"/>
      <w:lvlJc w:val="left"/>
      <w:pPr>
        <w:tabs>
          <w:tab w:val="num" w:pos="5910"/>
        </w:tabs>
        <w:ind w:left="5910" w:hanging="360"/>
      </w:pPr>
      <w:rPr>
        <w:rFonts w:ascii="Courier New" w:hAnsi="Courier New" w:cs="Courier New" w:hint="default"/>
      </w:rPr>
    </w:lvl>
    <w:lvl w:ilvl="8" w:tplc="04090005">
      <w:start w:val="1"/>
      <w:numFmt w:val="bullet"/>
      <w:lvlText w:val=""/>
      <w:lvlJc w:val="left"/>
      <w:pPr>
        <w:tabs>
          <w:tab w:val="num" w:pos="6630"/>
        </w:tabs>
        <w:ind w:left="6630" w:hanging="360"/>
      </w:pPr>
      <w:rPr>
        <w:rFonts w:ascii="Wingdings" w:hAnsi="Wingdings" w:cs="Wingdings" w:hint="default"/>
      </w:rPr>
    </w:lvl>
  </w:abstractNum>
  <w:abstractNum w:abstractNumId="14">
    <w:nsid w:val="78E958A1"/>
    <w:multiLevelType w:val="hybridMultilevel"/>
    <w:tmpl w:val="2D2E8670"/>
    <w:lvl w:ilvl="0" w:tplc="ECE847A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0"/>
  </w:num>
  <w:num w:numId="2">
    <w:abstractNumId w:val="13"/>
  </w:num>
  <w:num w:numId="3">
    <w:abstractNumId w:val="6"/>
  </w:num>
  <w:num w:numId="4">
    <w:abstractNumId w:val="1"/>
  </w:num>
  <w:num w:numId="5">
    <w:abstractNumId w:val="2"/>
  </w:num>
  <w:num w:numId="6">
    <w:abstractNumId w:val="0"/>
  </w:num>
  <w:num w:numId="7">
    <w:abstractNumId w:val="8"/>
  </w:num>
  <w:num w:numId="8">
    <w:abstractNumId w:val="11"/>
  </w:num>
  <w:num w:numId="9">
    <w:abstractNumId w:val="3"/>
  </w:num>
  <w:num w:numId="10">
    <w:abstractNumId w:val="9"/>
  </w:num>
  <w:num w:numId="11">
    <w:abstractNumId w:val="7"/>
  </w:num>
  <w:num w:numId="12">
    <w:abstractNumId w:val="12"/>
  </w:num>
  <w:num w:numId="13">
    <w:abstractNumId w:val="4"/>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47034B"/>
    <w:rsid w:val="000009D1"/>
    <w:rsid w:val="000033B2"/>
    <w:rsid w:val="0000360C"/>
    <w:rsid w:val="000057C9"/>
    <w:rsid w:val="00005ADA"/>
    <w:rsid w:val="00006575"/>
    <w:rsid w:val="00007080"/>
    <w:rsid w:val="000072F5"/>
    <w:rsid w:val="0001027D"/>
    <w:rsid w:val="000105C5"/>
    <w:rsid w:val="00010745"/>
    <w:rsid w:val="00011D8C"/>
    <w:rsid w:val="0001223F"/>
    <w:rsid w:val="00013247"/>
    <w:rsid w:val="00013FB5"/>
    <w:rsid w:val="00014EDF"/>
    <w:rsid w:val="00016634"/>
    <w:rsid w:val="000174D0"/>
    <w:rsid w:val="00022006"/>
    <w:rsid w:val="0002307B"/>
    <w:rsid w:val="0002391F"/>
    <w:rsid w:val="00023E59"/>
    <w:rsid w:val="00023FE5"/>
    <w:rsid w:val="000249B9"/>
    <w:rsid w:val="00025D35"/>
    <w:rsid w:val="000266AF"/>
    <w:rsid w:val="000269D7"/>
    <w:rsid w:val="00027126"/>
    <w:rsid w:val="00027730"/>
    <w:rsid w:val="00033652"/>
    <w:rsid w:val="000337B6"/>
    <w:rsid w:val="00033F85"/>
    <w:rsid w:val="0003522E"/>
    <w:rsid w:val="000363CE"/>
    <w:rsid w:val="0003702E"/>
    <w:rsid w:val="00037303"/>
    <w:rsid w:val="00037E42"/>
    <w:rsid w:val="00040EA0"/>
    <w:rsid w:val="00041479"/>
    <w:rsid w:val="000414AE"/>
    <w:rsid w:val="00041A6C"/>
    <w:rsid w:val="00042345"/>
    <w:rsid w:val="00042815"/>
    <w:rsid w:val="00042964"/>
    <w:rsid w:val="00044D60"/>
    <w:rsid w:val="000461AD"/>
    <w:rsid w:val="00046EB3"/>
    <w:rsid w:val="0005063A"/>
    <w:rsid w:val="000514ED"/>
    <w:rsid w:val="00051DED"/>
    <w:rsid w:val="00052203"/>
    <w:rsid w:val="00052C96"/>
    <w:rsid w:val="00053612"/>
    <w:rsid w:val="000553DA"/>
    <w:rsid w:val="00055C99"/>
    <w:rsid w:val="00055F59"/>
    <w:rsid w:val="00057347"/>
    <w:rsid w:val="00057380"/>
    <w:rsid w:val="00057F01"/>
    <w:rsid w:val="000616C7"/>
    <w:rsid w:val="00061CB6"/>
    <w:rsid w:val="00062DD1"/>
    <w:rsid w:val="00063C67"/>
    <w:rsid w:val="0006545F"/>
    <w:rsid w:val="00065567"/>
    <w:rsid w:val="0006582C"/>
    <w:rsid w:val="00065E97"/>
    <w:rsid w:val="00066698"/>
    <w:rsid w:val="00067207"/>
    <w:rsid w:val="0006770B"/>
    <w:rsid w:val="00067792"/>
    <w:rsid w:val="000703CD"/>
    <w:rsid w:val="00070410"/>
    <w:rsid w:val="00070B75"/>
    <w:rsid w:val="000715A7"/>
    <w:rsid w:val="000718DE"/>
    <w:rsid w:val="000728A4"/>
    <w:rsid w:val="00074B6B"/>
    <w:rsid w:val="00074B79"/>
    <w:rsid w:val="00075372"/>
    <w:rsid w:val="000759D9"/>
    <w:rsid w:val="00076887"/>
    <w:rsid w:val="0007777B"/>
    <w:rsid w:val="000777CA"/>
    <w:rsid w:val="00080283"/>
    <w:rsid w:val="00080C5E"/>
    <w:rsid w:val="0008203D"/>
    <w:rsid w:val="000822FA"/>
    <w:rsid w:val="00083B63"/>
    <w:rsid w:val="00084A50"/>
    <w:rsid w:val="00084A54"/>
    <w:rsid w:val="00084CA8"/>
    <w:rsid w:val="00085B51"/>
    <w:rsid w:val="00090142"/>
    <w:rsid w:val="00091A0B"/>
    <w:rsid w:val="00091B72"/>
    <w:rsid w:val="00093CBB"/>
    <w:rsid w:val="00094A57"/>
    <w:rsid w:val="00095026"/>
    <w:rsid w:val="000954ED"/>
    <w:rsid w:val="0009601F"/>
    <w:rsid w:val="0009642E"/>
    <w:rsid w:val="0009757D"/>
    <w:rsid w:val="000976C8"/>
    <w:rsid w:val="0009787F"/>
    <w:rsid w:val="000A03B9"/>
    <w:rsid w:val="000A1656"/>
    <w:rsid w:val="000A1E95"/>
    <w:rsid w:val="000A3311"/>
    <w:rsid w:val="000A38E5"/>
    <w:rsid w:val="000A4BC3"/>
    <w:rsid w:val="000A4C29"/>
    <w:rsid w:val="000A4D78"/>
    <w:rsid w:val="000A5258"/>
    <w:rsid w:val="000A5D7E"/>
    <w:rsid w:val="000A650A"/>
    <w:rsid w:val="000A7D3E"/>
    <w:rsid w:val="000B26B0"/>
    <w:rsid w:val="000B3F49"/>
    <w:rsid w:val="000B433C"/>
    <w:rsid w:val="000B5440"/>
    <w:rsid w:val="000B5941"/>
    <w:rsid w:val="000B6688"/>
    <w:rsid w:val="000B7617"/>
    <w:rsid w:val="000C0FA9"/>
    <w:rsid w:val="000C266A"/>
    <w:rsid w:val="000C3773"/>
    <w:rsid w:val="000C53EE"/>
    <w:rsid w:val="000C54E6"/>
    <w:rsid w:val="000C5F69"/>
    <w:rsid w:val="000C6545"/>
    <w:rsid w:val="000C6664"/>
    <w:rsid w:val="000D17F7"/>
    <w:rsid w:val="000D1AF6"/>
    <w:rsid w:val="000D21DD"/>
    <w:rsid w:val="000D2C30"/>
    <w:rsid w:val="000D308E"/>
    <w:rsid w:val="000D32FF"/>
    <w:rsid w:val="000D39D8"/>
    <w:rsid w:val="000D412D"/>
    <w:rsid w:val="000D415F"/>
    <w:rsid w:val="000D4AD6"/>
    <w:rsid w:val="000D4B4E"/>
    <w:rsid w:val="000D50A1"/>
    <w:rsid w:val="000D5951"/>
    <w:rsid w:val="000D5FAC"/>
    <w:rsid w:val="000E0D21"/>
    <w:rsid w:val="000E10F3"/>
    <w:rsid w:val="000E1826"/>
    <w:rsid w:val="000E1DBE"/>
    <w:rsid w:val="000E1DD3"/>
    <w:rsid w:val="000E2EA4"/>
    <w:rsid w:val="000E3A77"/>
    <w:rsid w:val="000E7118"/>
    <w:rsid w:val="000E7C68"/>
    <w:rsid w:val="000E7F68"/>
    <w:rsid w:val="000F118A"/>
    <w:rsid w:val="000F20E8"/>
    <w:rsid w:val="000F235A"/>
    <w:rsid w:val="000F6E4D"/>
    <w:rsid w:val="000F71F5"/>
    <w:rsid w:val="000F7B3C"/>
    <w:rsid w:val="00100320"/>
    <w:rsid w:val="00101E1A"/>
    <w:rsid w:val="001029B3"/>
    <w:rsid w:val="001034AD"/>
    <w:rsid w:val="001077CD"/>
    <w:rsid w:val="001077D3"/>
    <w:rsid w:val="00107CE5"/>
    <w:rsid w:val="00107F9A"/>
    <w:rsid w:val="00111AAA"/>
    <w:rsid w:val="0011272F"/>
    <w:rsid w:val="001134B5"/>
    <w:rsid w:val="001135BA"/>
    <w:rsid w:val="00114D47"/>
    <w:rsid w:val="00114FBB"/>
    <w:rsid w:val="001150D3"/>
    <w:rsid w:val="0011716F"/>
    <w:rsid w:val="001175B2"/>
    <w:rsid w:val="00117620"/>
    <w:rsid w:val="001178A2"/>
    <w:rsid w:val="00121D03"/>
    <w:rsid w:val="00122ED5"/>
    <w:rsid w:val="0012384E"/>
    <w:rsid w:val="0012456C"/>
    <w:rsid w:val="001265A0"/>
    <w:rsid w:val="001273BE"/>
    <w:rsid w:val="001278A9"/>
    <w:rsid w:val="00127AE6"/>
    <w:rsid w:val="001319C2"/>
    <w:rsid w:val="0013485A"/>
    <w:rsid w:val="0013558D"/>
    <w:rsid w:val="001378AB"/>
    <w:rsid w:val="00137FB8"/>
    <w:rsid w:val="0014036C"/>
    <w:rsid w:val="00140F9D"/>
    <w:rsid w:val="00141535"/>
    <w:rsid w:val="001421F8"/>
    <w:rsid w:val="0014225F"/>
    <w:rsid w:val="001423D0"/>
    <w:rsid w:val="0014388C"/>
    <w:rsid w:val="00143B92"/>
    <w:rsid w:val="00143F1A"/>
    <w:rsid w:val="001454E4"/>
    <w:rsid w:val="0014793B"/>
    <w:rsid w:val="0015281E"/>
    <w:rsid w:val="00153A5B"/>
    <w:rsid w:val="00155D45"/>
    <w:rsid w:val="001569CC"/>
    <w:rsid w:val="00156AE6"/>
    <w:rsid w:val="00157BB3"/>
    <w:rsid w:val="00160A6B"/>
    <w:rsid w:val="00160E89"/>
    <w:rsid w:val="001614F4"/>
    <w:rsid w:val="00161896"/>
    <w:rsid w:val="00161E98"/>
    <w:rsid w:val="0016248C"/>
    <w:rsid w:val="00162C96"/>
    <w:rsid w:val="001647E5"/>
    <w:rsid w:val="001648A6"/>
    <w:rsid w:val="00164A60"/>
    <w:rsid w:val="00164D3A"/>
    <w:rsid w:val="00164D6A"/>
    <w:rsid w:val="001652EA"/>
    <w:rsid w:val="00166134"/>
    <w:rsid w:val="00166ABD"/>
    <w:rsid w:val="00167837"/>
    <w:rsid w:val="00167970"/>
    <w:rsid w:val="00170D71"/>
    <w:rsid w:val="0017147B"/>
    <w:rsid w:val="00172E12"/>
    <w:rsid w:val="00173813"/>
    <w:rsid w:val="00173D5E"/>
    <w:rsid w:val="00174479"/>
    <w:rsid w:val="00174A10"/>
    <w:rsid w:val="00174F10"/>
    <w:rsid w:val="00176D54"/>
    <w:rsid w:val="00177589"/>
    <w:rsid w:val="00180E25"/>
    <w:rsid w:val="0018165B"/>
    <w:rsid w:val="00181A82"/>
    <w:rsid w:val="00182197"/>
    <w:rsid w:val="00182FB2"/>
    <w:rsid w:val="0018465B"/>
    <w:rsid w:val="0018532C"/>
    <w:rsid w:val="0018677C"/>
    <w:rsid w:val="00186808"/>
    <w:rsid w:val="00187299"/>
    <w:rsid w:val="00187B8A"/>
    <w:rsid w:val="00190026"/>
    <w:rsid w:val="001901D1"/>
    <w:rsid w:val="001911BB"/>
    <w:rsid w:val="00195657"/>
    <w:rsid w:val="00196E8A"/>
    <w:rsid w:val="0019774A"/>
    <w:rsid w:val="001A04CB"/>
    <w:rsid w:val="001A067C"/>
    <w:rsid w:val="001A1557"/>
    <w:rsid w:val="001A1766"/>
    <w:rsid w:val="001A1B57"/>
    <w:rsid w:val="001A364C"/>
    <w:rsid w:val="001A4186"/>
    <w:rsid w:val="001A6436"/>
    <w:rsid w:val="001A66C9"/>
    <w:rsid w:val="001A72D2"/>
    <w:rsid w:val="001B0ADB"/>
    <w:rsid w:val="001B1D94"/>
    <w:rsid w:val="001B3DC2"/>
    <w:rsid w:val="001B4379"/>
    <w:rsid w:val="001B6D63"/>
    <w:rsid w:val="001B7817"/>
    <w:rsid w:val="001B7D5E"/>
    <w:rsid w:val="001C1C95"/>
    <w:rsid w:val="001C25DF"/>
    <w:rsid w:val="001C478A"/>
    <w:rsid w:val="001C5DF5"/>
    <w:rsid w:val="001C66A0"/>
    <w:rsid w:val="001C6B34"/>
    <w:rsid w:val="001D0739"/>
    <w:rsid w:val="001D0A69"/>
    <w:rsid w:val="001D0C87"/>
    <w:rsid w:val="001D0D13"/>
    <w:rsid w:val="001D0FD2"/>
    <w:rsid w:val="001D2F45"/>
    <w:rsid w:val="001D4051"/>
    <w:rsid w:val="001D4463"/>
    <w:rsid w:val="001D4954"/>
    <w:rsid w:val="001D4EFC"/>
    <w:rsid w:val="001D53B5"/>
    <w:rsid w:val="001D5684"/>
    <w:rsid w:val="001D7BAA"/>
    <w:rsid w:val="001D7E1E"/>
    <w:rsid w:val="001E0EF5"/>
    <w:rsid w:val="001E337D"/>
    <w:rsid w:val="001E35C6"/>
    <w:rsid w:val="001E36B5"/>
    <w:rsid w:val="001E381E"/>
    <w:rsid w:val="001E41E7"/>
    <w:rsid w:val="001E470D"/>
    <w:rsid w:val="001E5805"/>
    <w:rsid w:val="001E5FC2"/>
    <w:rsid w:val="001E6053"/>
    <w:rsid w:val="001E6348"/>
    <w:rsid w:val="001E70C8"/>
    <w:rsid w:val="001F00A6"/>
    <w:rsid w:val="001F040F"/>
    <w:rsid w:val="001F13FC"/>
    <w:rsid w:val="001F1571"/>
    <w:rsid w:val="001F1BA4"/>
    <w:rsid w:val="001F1C3E"/>
    <w:rsid w:val="001F2E41"/>
    <w:rsid w:val="001F3D25"/>
    <w:rsid w:val="001F4418"/>
    <w:rsid w:val="001F55EB"/>
    <w:rsid w:val="001F6C9B"/>
    <w:rsid w:val="001F700A"/>
    <w:rsid w:val="001F71AE"/>
    <w:rsid w:val="001F7CB7"/>
    <w:rsid w:val="002006F6"/>
    <w:rsid w:val="00200D51"/>
    <w:rsid w:val="00203060"/>
    <w:rsid w:val="002034A5"/>
    <w:rsid w:val="002049DC"/>
    <w:rsid w:val="002050BC"/>
    <w:rsid w:val="002056EC"/>
    <w:rsid w:val="002058E6"/>
    <w:rsid w:val="002068CF"/>
    <w:rsid w:val="00206DFE"/>
    <w:rsid w:val="00207485"/>
    <w:rsid w:val="00207491"/>
    <w:rsid w:val="00211721"/>
    <w:rsid w:val="0021234B"/>
    <w:rsid w:val="002123B0"/>
    <w:rsid w:val="002123DB"/>
    <w:rsid w:val="0021265E"/>
    <w:rsid w:val="002130D1"/>
    <w:rsid w:val="0021531D"/>
    <w:rsid w:val="0021563F"/>
    <w:rsid w:val="002166C8"/>
    <w:rsid w:val="0021687E"/>
    <w:rsid w:val="0021765D"/>
    <w:rsid w:val="00217A3C"/>
    <w:rsid w:val="0022209E"/>
    <w:rsid w:val="00222706"/>
    <w:rsid w:val="0022298A"/>
    <w:rsid w:val="00224951"/>
    <w:rsid w:val="00225432"/>
    <w:rsid w:val="00225860"/>
    <w:rsid w:val="00226CEA"/>
    <w:rsid w:val="00226FCB"/>
    <w:rsid w:val="00230A79"/>
    <w:rsid w:val="00232D84"/>
    <w:rsid w:val="00233379"/>
    <w:rsid w:val="0023399F"/>
    <w:rsid w:val="00234204"/>
    <w:rsid w:val="002345E7"/>
    <w:rsid w:val="00236060"/>
    <w:rsid w:val="00236F8C"/>
    <w:rsid w:val="00237628"/>
    <w:rsid w:val="00237DC6"/>
    <w:rsid w:val="0024087F"/>
    <w:rsid w:val="002409EC"/>
    <w:rsid w:val="0024180C"/>
    <w:rsid w:val="00242572"/>
    <w:rsid w:val="002428E3"/>
    <w:rsid w:val="00242E48"/>
    <w:rsid w:val="00244FBA"/>
    <w:rsid w:val="0024523A"/>
    <w:rsid w:val="00246D79"/>
    <w:rsid w:val="00250DC4"/>
    <w:rsid w:val="00250F49"/>
    <w:rsid w:val="002522B2"/>
    <w:rsid w:val="00253F7C"/>
    <w:rsid w:val="002540B2"/>
    <w:rsid w:val="00255464"/>
    <w:rsid w:val="00255CA9"/>
    <w:rsid w:val="00256240"/>
    <w:rsid w:val="00256B77"/>
    <w:rsid w:val="00257161"/>
    <w:rsid w:val="00257DDB"/>
    <w:rsid w:val="002601EE"/>
    <w:rsid w:val="00261113"/>
    <w:rsid w:val="002612B8"/>
    <w:rsid w:val="0026145F"/>
    <w:rsid w:val="0026250B"/>
    <w:rsid w:val="002642C2"/>
    <w:rsid w:val="00264334"/>
    <w:rsid w:val="00265156"/>
    <w:rsid w:val="00265193"/>
    <w:rsid w:val="00266A93"/>
    <w:rsid w:val="00266AC8"/>
    <w:rsid w:val="00270585"/>
    <w:rsid w:val="002708C1"/>
    <w:rsid w:val="0027128A"/>
    <w:rsid w:val="00272298"/>
    <w:rsid w:val="00272CD8"/>
    <w:rsid w:val="002735A1"/>
    <w:rsid w:val="00273D70"/>
    <w:rsid w:val="0027451F"/>
    <w:rsid w:val="002769C3"/>
    <w:rsid w:val="00276F70"/>
    <w:rsid w:val="002800DF"/>
    <w:rsid w:val="00280EC2"/>
    <w:rsid w:val="00281CF5"/>
    <w:rsid w:val="00282A66"/>
    <w:rsid w:val="00283650"/>
    <w:rsid w:val="00283A26"/>
    <w:rsid w:val="00286947"/>
    <w:rsid w:val="0028705B"/>
    <w:rsid w:val="002903BC"/>
    <w:rsid w:val="002908BD"/>
    <w:rsid w:val="002930F7"/>
    <w:rsid w:val="00293AAC"/>
    <w:rsid w:val="00294193"/>
    <w:rsid w:val="002943FA"/>
    <w:rsid w:val="00294746"/>
    <w:rsid w:val="00295041"/>
    <w:rsid w:val="002950CF"/>
    <w:rsid w:val="002954A4"/>
    <w:rsid w:val="0029579D"/>
    <w:rsid w:val="00295E09"/>
    <w:rsid w:val="00296C16"/>
    <w:rsid w:val="002977DF"/>
    <w:rsid w:val="002A05F2"/>
    <w:rsid w:val="002A0BED"/>
    <w:rsid w:val="002A2058"/>
    <w:rsid w:val="002A26D5"/>
    <w:rsid w:val="002A3C22"/>
    <w:rsid w:val="002A518A"/>
    <w:rsid w:val="002A55FD"/>
    <w:rsid w:val="002A6717"/>
    <w:rsid w:val="002A6BE2"/>
    <w:rsid w:val="002A6C1F"/>
    <w:rsid w:val="002A6E44"/>
    <w:rsid w:val="002A7F74"/>
    <w:rsid w:val="002B0832"/>
    <w:rsid w:val="002B0CB1"/>
    <w:rsid w:val="002B1476"/>
    <w:rsid w:val="002B1E64"/>
    <w:rsid w:val="002B2006"/>
    <w:rsid w:val="002B202E"/>
    <w:rsid w:val="002B2E2B"/>
    <w:rsid w:val="002B2E73"/>
    <w:rsid w:val="002B56C0"/>
    <w:rsid w:val="002B6059"/>
    <w:rsid w:val="002B6431"/>
    <w:rsid w:val="002B676C"/>
    <w:rsid w:val="002B7086"/>
    <w:rsid w:val="002C1230"/>
    <w:rsid w:val="002C17F7"/>
    <w:rsid w:val="002C1D6D"/>
    <w:rsid w:val="002C1EBA"/>
    <w:rsid w:val="002C3AFA"/>
    <w:rsid w:val="002C3BB0"/>
    <w:rsid w:val="002C4492"/>
    <w:rsid w:val="002C51CE"/>
    <w:rsid w:val="002C5A52"/>
    <w:rsid w:val="002D0307"/>
    <w:rsid w:val="002D0700"/>
    <w:rsid w:val="002D0951"/>
    <w:rsid w:val="002D0E95"/>
    <w:rsid w:val="002D4C43"/>
    <w:rsid w:val="002D522C"/>
    <w:rsid w:val="002E140B"/>
    <w:rsid w:val="002E2323"/>
    <w:rsid w:val="002E49C5"/>
    <w:rsid w:val="002E68E4"/>
    <w:rsid w:val="002E6A81"/>
    <w:rsid w:val="002F0072"/>
    <w:rsid w:val="002F1EED"/>
    <w:rsid w:val="002F24FC"/>
    <w:rsid w:val="002F365F"/>
    <w:rsid w:val="002F395B"/>
    <w:rsid w:val="002F39CB"/>
    <w:rsid w:val="002F3A3C"/>
    <w:rsid w:val="002F4169"/>
    <w:rsid w:val="002F566C"/>
    <w:rsid w:val="002F5682"/>
    <w:rsid w:val="002F5749"/>
    <w:rsid w:val="00300323"/>
    <w:rsid w:val="00300BC7"/>
    <w:rsid w:val="003011F5"/>
    <w:rsid w:val="00301224"/>
    <w:rsid w:val="00301432"/>
    <w:rsid w:val="003026CC"/>
    <w:rsid w:val="003029E6"/>
    <w:rsid w:val="00304AD9"/>
    <w:rsid w:val="00306655"/>
    <w:rsid w:val="00306E89"/>
    <w:rsid w:val="00306FB8"/>
    <w:rsid w:val="00307879"/>
    <w:rsid w:val="00307C53"/>
    <w:rsid w:val="00307F62"/>
    <w:rsid w:val="003109A9"/>
    <w:rsid w:val="00310CC2"/>
    <w:rsid w:val="00310E23"/>
    <w:rsid w:val="003113DF"/>
    <w:rsid w:val="00311535"/>
    <w:rsid w:val="00312FF9"/>
    <w:rsid w:val="003172AC"/>
    <w:rsid w:val="00320520"/>
    <w:rsid w:val="003205A1"/>
    <w:rsid w:val="003208EB"/>
    <w:rsid w:val="00321E6D"/>
    <w:rsid w:val="003230D8"/>
    <w:rsid w:val="003237BC"/>
    <w:rsid w:val="00323828"/>
    <w:rsid w:val="003240AA"/>
    <w:rsid w:val="003249CA"/>
    <w:rsid w:val="00324D68"/>
    <w:rsid w:val="00326858"/>
    <w:rsid w:val="003271F1"/>
    <w:rsid w:val="0032757A"/>
    <w:rsid w:val="00330064"/>
    <w:rsid w:val="003301A0"/>
    <w:rsid w:val="00330FF6"/>
    <w:rsid w:val="0033311E"/>
    <w:rsid w:val="003351B9"/>
    <w:rsid w:val="003363AC"/>
    <w:rsid w:val="00337C0B"/>
    <w:rsid w:val="00341982"/>
    <w:rsid w:val="00341F0D"/>
    <w:rsid w:val="00342A69"/>
    <w:rsid w:val="00342B01"/>
    <w:rsid w:val="00342C78"/>
    <w:rsid w:val="003430B9"/>
    <w:rsid w:val="0034311A"/>
    <w:rsid w:val="003441FA"/>
    <w:rsid w:val="003448E8"/>
    <w:rsid w:val="00344BB7"/>
    <w:rsid w:val="00347209"/>
    <w:rsid w:val="0035055D"/>
    <w:rsid w:val="00351D5D"/>
    <w:rsid w:val="003526DA"/>
    <w:rsid w:val="0035276C"/>
    <w:rsid w:val="0035407D"/>
    <w:rsid w:val="00356130"/>
    <w:rsid w:val="003565BB"/>
    <w:rsid w:val="00357029"/>
    <w:rsid w:val="00357CB8"/>
    <w:rsid w:val="0036110E"/>
    <w:rsid w:val="00361E2A"/>
    <w:rsid w:val="0036244F"/>
    <w:rsid w:val="003627C6"/>
    <w:rsid w:val="003646A2"/>
    <w:rsid w:val="00364C62"/>
    <w:rsid w:val="00364F0C"/>
    <w:rsid w:val="0036515D"/>
    <w:rsid w:val="00366300"/>
    <w:rsid w:val="003663C8"/>
    <w:rsid w:val="0036654B"/>
    <w:rsid w:val="003668DC"/>
    <w:rsid w:val="003671BC"/>
    <w:rsid w:val="003729C3"/>
    <w:rsid w:val="00373891"/>
    <w:rsid w:val="00374372"/>
    <w:rsid w:val="00376484"/>
    <w:rsid w:val="00376849"/>
    <w:rsid w:val="003773FF"/>
    <w:rsid w:val="0037753F"/>
    <w:rsid w:val="00380F27"/>
    <w:rsid w:val="003812D6"/>
    <w:rsid w:val="00381533"/>
    <w:rsid w:val="0038193B"/>
    <w:rsid w:val="00382A7D"/>
    <w:rsid w:val="00382B3A"/>
    <w:rsid w:val="00383969"/>
    <w:rsid w:val="003850DF"/>
    <w:rsid w:val="00387D50"/>
    <w:rsid w:val="00390922"/>
    <w:rsid w:val="0039190A"/>
    <w:rsid w:val="0039340F"/>
    <w:rsid w:val="00394AEA"/>
    <w:rsid w:val="00395578"/>
    <w:rsid w:val="00397072"/>
    <w:rsid w:val="003A1BE0"/>
    <w:rsid w:val="003A398B"/>
    <w:rsid w:val="003A3D53"/>
    <w:rsid w:val="003A400A"/>
    <w:rsid w:val="003A667F"/>
    <w:rsid w:val="003B288E"/>
    <w:rsid w:val="003B2973"/>
    <w:rsid w:val="003B580E"/>
    <w:rsid w:val="003B69F0"/>
    <w:rsid w:val="003B6ED0"/>
    <w:rsid w:val="003B73A6"/>
    <w:rsid w:val="003B73FD"/>
    <w:rsid w:val="003B758C"/>
    <w:rsid w:val="003C1B1A"/>
    <w:rsid w:val="003C2393"/>
    <w:rsid w:val="003C2C0D"/>
    <w:rsid w:val="003C32FF"/>
    <w:rsid w:val="003C4ACE"/>
    <w:rsid w:val="003C4EB3"/>
    <w:rsid w:val="003C775F"/>
    <w:rsid w:val="003C7787"/>
    <w:rsid w:val="003D0F20"/>
    <w:rsid w:val="003D16F7"/>
    <w:rsid w:val="003D1DD1"/>
    <w:rsid w:val="003D3DCC"/>
    <w:rsid w:val="003D5A96"/>
    <w:rsid w:val="003D64F6"/>
    <w:rsid w:val="003D6547"/>
    <w:rsid w:val="003E2BF0"/>
    <w:rsid w:val="003E48A7"/>
    <w:rsid w:val="003E6291"/>
    <w:rsid w:val="003E7503"/>
    <w:rsid w:val="003E794A"/>
    <w:rsid w:val="003F1F2E"/>
    <w:rsid w:val="003F31AE"/>
    <w:rsid w:val="003F3615"/>
    <w:rsid w:val="003F46D4"/>
    <w:rsid w:val="003F4A12"/>
    <w:rsid w:val="003F6085"/>
    <w:rsid w:val="00400FB6"/>
    <w:rsid w:val="00401AB3"/>
    <w:rsid w:val="004023B0"/>
    <w:rsid w:val="00402A50"/>
    <w:rsid w:val="00402B93"/>
    <w:rsid w:val="00402E63"/>
    <w:rsid w:val="00402E9B"/>
    <w:rsid w:val="00403B77"/>
    <w:rsid w:val="00403FE9"/>
    <w:rsid w:val="004040D9"/>
    <w:rsid w:val="00404AFA"/>
    <w:rsid w:val="00410B59"/>
    <w:rsid w:val="0041195F"/>
    <w:rsid w:val="00412295"/>
    <w:rsid w:val="00412A37"/>
    <w:rsid w:val="004131FE"/>
    <w:rsid w:val="00414C27"/>
    <w:rsid w:val="0041783F"/>
    <w:rsid w:val="00417DF7"/>
    <w:rsid w:val="00420EC8"/>
    <w:rsid w:val="00421FC4"/>
    <w:rsid w:val="00424D56"/>
    <w:rsid w:val="00424ECE"/>
    <w:rsid w:val="00425618"/>
    <w:rsid w:val="00426195"/>
    <w:rsid w:val="004276EB"/>
    <w:rsid w:val="004277A3"/>
    <w:rsid w:val="0043092A"/>
    <w:rsid w:val="004318D4"/>
    <w:rsid w:val="00432112"/>
    <w:rsid w:val="004325BF"/>
    <w:rsid w:val="0043311A"/>
    <w:rsid w:val="004331A0"/>
    <w:rsid w:val="0043357A"/>
    <w:rsid w:val="004358C7"/>
    <w:rsid w:val="00435CDE"/>
    <w:rsid w:val="0043609A"/>
    <w:rsid w:val="00436974"/>
    <w:rsid w:val="00436B4C"/>
    <w:rsid w:val="004376BD"/>
    <w:rsid w:val="00437A20"/>
    <w:rsid w:val="00437FF5"/>
    <w:rsid w:val="004401B1"/>
    <w:rsid w:val="004402C0"/>
    <w:rsid w:val="0044069E"/>
    <w:rsid w:val="00440866"/>
    <w:rsid w:val="00440ADB"/>
    <w:rsid w:val="004415B9"/>
    <w:rsid w:val="00441A0D"/>
    <w:rsid w:val="00441D67"/>
    <w:rsid w:val="004421ED"/>
    <w:rsid w:val="004423C9"/>
    <w:rsid w:val="00443286"/>
    <w:rsid w:val="0044446E"/>
    <w:rsid w:val="00445073"/>
    <w:rsid w:val="004469B0"/>
    <w:rsid w:val="00447544"/>
    <w:rsid w:val="0044791A"/>
    <w:rsid w:val="0045134D"/>
    <w:rsid w:val="0045139A"/>
    <w:rsid w:val="0045244E"/>
    <w:rsid w:val="0045453A"/>
    <w:rsid w:val="004548E1"/>
    <w:rsid w:val="004556F9"/>
    <w:rsid w:val="004575F0"/>
    <w:rsid w:val="00460217"/>
    <w:rsid w:val="004604F7"/>
    <w:rsid w:val="00460917"/>
    <w:rsid w:val="004614B7"/>
    <w:rsid w:val="004616E8"/>
    <w:rsid w:val="004619B0"/>
    <w:rsid w:val="00463DE4"/>
    <w:rsid w:val="00465177"/>
    <w:rsid w:val="00465905"/>
    <w:rsid w:val="004665E7"/>
    <w:rsid w:val="00466792"/>
    <w:rsid w:val="00467D28"/>
    <w:rsid w:val="0047034B"/>
    <w:rsid w:val="00470CC0"/>
    <w:rsid w:val="004730B7"/>
    <w:rsid w:val="00473583"/>
    <w:rsid w:val="0047516B"/>
    <w:rsid w:val="0047577F"/>
    <w:rsid w:val="00475A99"/>
    <w:rsid w:val="00476A1E"/>
    <w:rsid w:val="00476CDD"/>
    <w:rsid w:val="00477B76"/>
    <w:rsid w:val="00477E54"/>
    <w:rsid w:val="00481044"/>
    <w:rsid w:val="0048245E"/>
    <w:rsid w:val="0048289A"/>
    <w:rsid w:val="00483A2D"/>
    <w:rsid w:val="0048453D"/>
    <w:rsid w:val="00484B77"/>
    <w:rsid w:val="00484C42"/>
    <w:rsid w:val="0048588E"/>
    <w:rsid w:val="004862A0"/>
    <w:rsid w:val="00486BE0"/>
    <w:rsid w:val="00491002"/>
    <w:rsid w:val="00491F64"/>
    <w:rsid w:val="0049214F"/>
    <w:rsid w:val="00492A98"/>
    <w:rsid w:val="00492CF7"/>
    <w:rsid w:val="004942C7"/>
    <w:rsid w:val="004A007B"/>
    <w:rsid w:val="004A261D"/>
    <w:rsid w:val="004A323E"/>
    <w:rsid w:val="004A3FB3"/>
    <w:rsid w:val="004A5DE1"/>
    <w:rsid w:val="004A7542"/>
    <w:rsid w:val="004A78C0"/>
    <w:rsid w:val="004B176F"/>
    <w:rsid w:val="004B1F7F"/>
    <w:rsid w:val="004B2572"/>
    <w:rsid w:val="004B3466"/>
    <w:rsid w:val="004B40E4"/>
    <w:rsid w:val="004B5CFD"/>
    <w:rsid w:val="004B5EFD"/>
    <w:rsid w:val="004B5F76"/>
    <w:rsid w:val="004B6040"/>
    <w:rsid w:val="004B6728"/>
    <w:rsid w:val="004B7A2E"/>
    <w:rsid w:val="004C1E29"/>
    <w:rsid w:val="004C2058"/>
    <w:rsid w:val="004C2186"/>
    <w:rsid w:val="004C4BE5"/>
    <w:rsid w:val="004C4E00"/>
    <w:rsid w:val="004C5A4F"/>
    <w:rsid w:val="004C6279"/>
    <w:rsid w:val="004C6625"/>
    <w:rsid w:val="004C6FC7"/>
    <w:rsid w:val="004D06C5"/>
    <w:rsid w:val="004D0B0D"/>
    <w:rsid w:val="004D2228"/>
    <w:rsid w:val="004D3417"/>
    <w:rsid w:val="004D37E6"/>
    <w:rsid w:val="004D3B8F"/>
    <w:rsid w:val="004D3BDC"/>
    <w:rsid w:val="004D3EDB"/>
    <w:rsid w:val="004D4A50"/>
    <w:rsid w:val="004D68F3"/>
    <w:rsid w:val="004D6EF1"/>
    <w:rsid w:val="004E04B9"/>
    <w:rsid w:val="004E10DA"/>
    <w:rsid w:val="004E1893"/>
    <w:rsid w:val="004E1AE9"/>
    <w:rsid w:val="004E29F2"/>
    <w:rsid w:val="004E471E"/>
    <w:rsid w:val="004F0BD7"/>
    <w:rsid w:val="004F1650"/>
    <w:rsid w:val="004F2BCD"/>
    <w:rsid w:val="004F2D39"/>
    <w:rsid w:val="004F3BF5"/>
    <w:rsid w:val="004F3C7E"/>
    <w:rsid w:val="004F52AF"/>
    <w:rsid w:val="004F54CD"/>
    <w:rsid w:val="004F5DF2"/>
    <w:rsid w:val="004F71C1"/>
    <w:rsid w:val="004F793C"/>
    <w:rsid w:val="005009D2"/>
    <w:rsid w:val="00501DF4"/>
    <w:rsid w:val="00502633"/>
    <w:rsid w:val="005032E6"/>
    <w:rsid w:val="00505AB8"/>
    <w:rsid w:val="005073D8"/>
    <w:rsid w:val="0050778B"/>
    <w:rsid w:val="00507EA8"/>
    <w:rsid w:val="0051183C"/>
    <w:rsid w:val="005118C7"/>
    <w:rsid w:val="00511984"/>
    <w:rsid w:val="00511C92"/>
    <w:rsid w:val="005128DD"/>
    <w:rsid w:val="0051292A"/>
    <w:rsid w:val="0051358F"/>
    <w:rsid w:val="00513EC2"/>
    <w:rsid w:val="0051410D"/>
    <w:rsid w:val="00514135"/>
    <w:rsid w:val="00514E85"/>
    <w:rsid w:val="005156B4"/>
    <w:rsid w:val="00517DF8"/>
    <w:rsid w:val="0052028B"/>
    <w:rsid w:val="00520BC7"/>
    <w:rsid w:val="005225DD"/>
    <w:rsid w:val="00522C03"/>
    <w:rsid w:val="005276E3"/>
    <w:rsid w:val="0053023F"/>
    <w:rsid w:val="00531559"/>
    <w:rsid w:val="0053193C"/>
    <w:rsid w:val="00532096"/>
    <w:rsid w:val="00532FD1"/>
    <w:rsid w:val="00534106"/>
    <w:rsid w:val="005342DA"/>
    <w:rsid w:val="00534808"/>
    <w:rsid w:val="00534918"/>
    <w:rsid w:val="0053698A"/>
    <w:rsid w:val="00536B30"/>
    <w:rsid w:val="00537760"/>
    <w:rsid w:val="0054071E"/>
    <w:rsid w:val="00541FBC"/>
    <w:rsid w:val="00542137"/>
    <w:rsid w:val="00543662"/>
    <w:rsid w:val="00543664"/>
    <w:rsid w:val="0054447A"/>
    <w:rsid w:val="00545D3D"/>
    <w:rsid w:val="00545E7E"/>
    <w:rsid w:val="00546199"/>
    <w:rsid w:val="00546CFB"/>
    <w:rsid w:val="005472C0"/>
    <w:rsid w:val="00552509"/>
    <w:rsid w:val="005538ED"/>
    <w:rsid w:val="00553926"/>
    <w:rsid w:val="00553EF8"/>
    <w:rsid w:val="00554CA4"/>
    <w:rsid w:val="00554CB9"/>
    <w:rsid w:val="00555171"/>
    <w:rsid w:val="00555386"/>
    <w:rsid w:val="00557C7B"/>
    <w:rsid w:val="005605D4"/>
    <w:rsid w:val="005611E0"/>
    <w:rsid w:val="00561BFC"/>
    <w:rsid w:val="005628EA"/>
    <w:rsid w:val="0056617B"/>
    <w:rsid w:val="005665B9"/>
    <w:rsid w:val="00571AF9"/>
    <w:rsid w:val="00572916"/>
    <w:rsid w:val="00572DBB"/>
    <w:rsid w:val="00572DF4"/>
    <w:rsid w:val="00572FAA"/>
    <w:rsid w:val="005730A1"/>
    <w:rsid w:val="005738A3"/>
    <w:rsid w:val="00574C30"/>
    <w:rsid w:val="00575C3C"/>
    <w:rsid w:val="00575D74"/>
    <w:rsid w:val="005768B7"/>
    <w:rsid w:val="00576A5B"/>
    <w:rsid w:val="00576B92"/>
    <w:rsid w:val="00576F7F"/>
    <w:rsid w:val="00577026"/>
    <w:rsid w:val="00577320"/>
    <w:rsid w:val="00577C42"/>
    <w:rsid w:val="00580A00"/>
    <w:rsid w:val="00581476"/>
    <w:rsid w:val="00581AD3"/>
    <w:rsid w:val="00581DD6"/>
    <w:rsid w:val="00582506"/>
    <w:rsid w:val="005836DC"/>
    <w:rsid w:val="00583C42"/>
    <w:rsid w:val="005869DB"/>
    <w:rsid w:val="00590395"/>
    <w:rsid w:val="0059224B"/>
    <w:rsid w:val="0059375E"/>
    <w:rsid w:val="00594909"/>
    <w:rsid w:val="00594DAA"/>
    <w:rsid w:val="005965FC"/>
    <w:rsid w:val="005A01DC"/>
    <w:rsid w:val="005A2574"/>
    <w:rsid w:val="005A2917"/>
    <w:rsid w:val="005A3B03"/>
    <w:rsid w:val="005A6FF4"/>
    <w:rsid w:val="005B06F6"/>
    <w:rsid w:val="005B1002"/>
    <w:rsid w:val="005B1742"/>
    <w:rsid w:val="005B397F"/>
    <w:rsid w:val="005B3F15"/>
    <w:rsid w:val="005B4C95"/>
    <w:rsid w:val="005B502B"/>
    <w:rsid w:val="005B5188"/>
    <w:rsid w:val="005B52C3"/>
    <w:rsid w:val="005B52C9"/>
    <w:rsid w:val="005B5501"/>
    <w:rsid w:val="005B5E2C"/>
    <w:rsid w:val="005B623A"/>
    <w:rsid w:val="005B7EE5"/>
    <w:rsid w:val="005C0656"/>
    <w:rsid w:val="005C0A7D"/>
    <w:rsid w:val="005C0B77"/>
    <w:rsid w:val="005C116A"/>
    <w:rsid w:val="005C1B1E"/>
    <w:rsid w:val="005C3179"/>
    <w:rsid w:val="005C465D"/>
    <w:rsid w:val="005C55B1"/>
    <w:rsid w:val="005C6220"/>
    <w:rsid w:val="005C6FC0"/>
    <w:rsid w:val="005D0230"/>
    <w:rsid w:val="005D0471"/>
    <w:rsid w:val="005D1596"/>
    <w:rsid w:val="005D3B9F"/>
    <w:rsid w:val="005D40A5"/>
    <w:rsid w:val="005D5D3F"/>
    <w:rsid w:val="005D6863"/>
    <w:rsid w:val="005D77AE"/>
    <w:rsid w:val="005D7FA9"/>
    <w:rsid w:val="005D7FAD"/>
    <w:rsid w:val="005E0C90"/>
    <w:rsid w:val="005E1FBC"/>
    <w:rsid w:val="005E256B"/>
    <w:rsid w:val="005E2A3B"/>
    <w:rsid w:val="005E2BB3"/>
    <w:rsid w:val="005E3A7F"/>
    <w:rsid w:val="005E53E5"/>
    <w:rsid w:val="005E63F9"/>
    <w:rsid w:val="005F0310"/>
    <w:rsid w:val="005F0C29"/>
    <w:rsid w:val="005F27F8"/>
    <w:rsid w:val="005F2DEE"/>
    <w:rsid w:val="005F523C"/>
    <w:rsid w:val="005F6CC0"/>
    <w:rsid w:val="005F75D7"/>
    <w:rsid w:val="005F76B9"/>
    <w:rsid w:val="00600B6C"/>
    <w:rsid w:val="00602401"/>
    <w:rsid w:val="00602D09"/>
    <w:rsid w:val="00605C58"/>
    <w:rsid w:val="00606157"/>
    <w:rsid w:val="0061027E"/>
    <w:rsid w:val="00611FBE"/>
    <w:rsid w:val="00613410"/>
    <w:rsid w:val="00616379"/>
    <w:rsid w:val="0061656C"/>
    <w:rsid w:val="006178F2"/>
    <w:rsid w:val="00617AB8"/>
    <w:rsid w:val="00620683"/>
    <w:rsid w:val="0062501A"/>
    <w:rsid w:val="0062559E"/>
    <w:rsid w:val="006262CC"/>
    <w:rsid w:val="0062640F"/>
    <w:rsid w:val="0062738C"/>
    <w:rsid w:val="00627B7F"/>
    <w:rsid w:val="00633EF5"/>
    <w:rsid w:val="00637360"/>
    <w:rsid w:val="00640051"/>
    <w:rsid w:val="0064028E"/>
    <w:rsid w:val="0064124F"/>
    <w:rsid w:val="00641DD5"/>
    <w:rsid w:val="00643671"/>
    <w:rsid w:val="006445FD"/>
    <w:rsid w:val="00644831"/>
    <w:rsid w:val="00644C94"/>
    <w:rsid w:val="00644E3E"/>
    <w:rsid w:val="00645EEC"/>
    <w:rsid w:val="006505DC"/>
    <w:rsid w:val="006509A1"/>
    <w:rsid w:val="006509A5"/>
    <w:rsid w:val="00650ACD"/>
    <w:rsid w:val="00651E47"/>
    <w:rsid w:val="0065263E"/>
    <w:rsid w:val="00652FAB"/>
    <w:rsid w:val="00653802"/>
    <w:rsid w:val="00654035"/>
    <w:rsid w:val="00654887"/>
    <w:rsid w:val="006554F9"/>
    <w:rsid w:val="00656247"/>
    <w:rsid w:val="006562BF"/>
    <w:rsid w:val="0065715C"/>
    <w:rsid w:val="0065735B"/>
    <w:rsid w:val="006602D7"/>
    <w:rsid w:val="0066084C"/>
    <w:rsid w:val="00660CA3"/>
    <w:rsid w:val="00661170"/>
    <w:rsid w:val="006636E8"/>
    <w:rsid w:val="00665CD4"/>
    <w:rsid w:val="00666469"/>
    <w:rsid w:val="00666EE9"/>
    <w:rsid w:val="006672ED"/>
    <w:rsid w:val="006679EB"/>
    <w:rsid w:val="00670527"/>
    <w:rsid w:val="00671582"/>
    <w:rsid w:val="00672FB6"/>
    <w:rsid w:val="00674B61"/>
    <w:rsid w:val="00675ED5"/>
    <w:rsid w:val="006764A6"/>
    <w:rsid w:val="0067701B"/>
    <w:rsid w:val="006776EA"/>
    <w:rsid w:val="00677EDF"/>
    <w:rsid w:val="00680AED"/>
    <w:rsid w:val="00680EB9"/>
    <w:rsid w:val="00681392"/>
    <w:rsid w:val="0068267E"/>
    <w:rsid w:val="006833CE"/>
    <w:rsid w:val="00683B59"/>
    <w:rsid w:val="00684DC2"/>
    <w:rsid w:val="00684E27"/>
    <w:rsid w:val="006863CB"/>
    <w:rsid w:val="00687176"/>
    <w:rsid w:val="006876DD"/>
    <w:rsid w:val="006918CB"/>
    <w:rsid w:val="006927B2"/>
    <w:rsid w:val="00693816"/>
    <w:rsid w:val="00693AE0"/>
    <w:rsid w:val="0069501D"/>
    <w:rsid w:val="0069616F"/>
    <w:rsid w:val="00696A88"/>
    <w:rsid w:val="00696B17"/>
    <w:rsid w:val="00697275"/>
    <w:rsid w:val="006A0047"/>
    <w:rsid w:val="006A00E1"/>
    <w:rsid w:val="006A0700"/>
    <w:rsid w:val="006A259C"/>
    <w:rsid w:val="006A2FC4"/>
    <w:rsid w:val="006A3157"/>
    <w:rsid w:val="006A3B0C"/>
    <w:rsid w:val="006A455E"/>
    <w:rsid w:val="006A56A0"/>
    <w:rsid w:val="006A5AA1"/>
    <w:rsid w:val="006A7DBE"/>
    <w:rsid w:val="006B0311"/>
    <w:rsid w:val="006B11E1"/>
    <w:rsid w:val="006B1615"/>
    <w:rsid w:val="006B165C"/>
    <w:rsid w:val="006B18AF"/>
    <w:rsid w:val="006B1D04"/>
    <w:rsid w:val="006B29FB"/>
    <w:rsid w:val="006B30CA"/>
    <w:rsid w:val="006B4E52"/>
    <w:rsid w:val="006B5F2B"/>
    <w:rsid w:val="006B7AF9"/>
    <w:rsid w:val="006C00F8"/>
    <w:rsid w:val="006C0A02"/>
    <w:rsid w:val="006C1C66"/>
    <w:rsid w:val="006C4642"/>
    <w:rsid w:val="006C51F1"/>
    <w:rsid w:val="006D1DEA"/>
    <w:rsid w:val="006D2CFE"/>
    <w:rsid w:val="006D322F"/>
    <w:rsid w:val="006D37D9"/>
    <w:rsid w:val="006D5610"/>
    <w:rsid w:val="006D7719"/>
    <w:rsid w:val="006E029F"/>
    <w:rsid w:val="006E0EDC"/>
    <w:rsid w:val="006E11F4"/>
    <w:rsid w:val="006E19C4"/>
    <w:rsid w:val="006E2E89"/>
    <w:rsid w:val="006E3B7E"/>
    <w:rsid w:val="006E44F4"/>
    <w:rsid w:val="006E4808"/>
    <w:rsid w:val="006E59E7"/>
    <w:rsid w:val="006E7C54"/>
    <w:rsid w:val="006F01A7"/>
    <w:rsid w:val="006F1A34"/>
    <w:rsid w:val="006F1B95"/>
    <w:rsid w:val="006F2E99"/>
    <w:rsid w:val="006F4908"/>
    <w:rsid w:val="006F4A46"/>
    <w:rsid w:val="006F4D6C"/>
    <w:rsid w:val="006F4ED7"/>
    <w:rsid w:val="006F55AF"/>
    <w:rsid w:val="006F5DA0"/>
    <w:rsid w:val="006F66CA"/>
    <w:rsid w:val="006F66E3"/>
    <w:rsid w:val="006F6801"/>
    <w:rsid w:val="006F6FD5"/>
    <w:rsid w:val="006F7568"/>
    <w:rsid w:val="006F761B"/>
    <w:rsid w:val="00700D0D"/>
    <w:rsid w:val="00701C30"/>
    <w:rsid w:val="0070329E"/>
    <w:rsid w:val="00703841"/>
    <w:rsid w:val="0070485A"/>
    <w:rsid w:val="0070772F"/>
    <w:rsid w:val="00707B56"/>
    <w:rsid w:val="00710C97"/>
    <w:rsid w:val="007116F1"/>
    <w:rsid w:val="00711F95"/>
    <w:rsid w:val="00713078"/>
    <w:rsid w:val="00713E32"/>
    <w:rsid w:val="007166F4"/>
    <w:rsid w:val="00716A5B"/>
    <w:rsid w:val="00716BD0"/>
    <w:rsid w:val="00716E9D"/>
    <w:rsid w:val="00716F98"/>
    <w:rsid w:val="00717A93"/>
    <w:rsid w:val="007232C3"/>
    <w:rsid w:val="007252BB"/>
    <w:rsid w:val="00725C20"/>
    <w:rsid w:val="00725C81"/>
    <w:rsid w:val="00725EE5"/>
    <w:rsid w:val="00726423"/>
    <w:rsid w:val="007270A7"/>
    <w:rsid w:val="007275D1"/>
    <w:rsid w:val="0073291C"/>
    <w:rsid w:val="00733CDB"/>
    <w:rsid w:val="00734BE7"/>
    <w:rsid w:val="00734E3A"/>
    <w:rsid w:val="00734FC8"/>
    <w:rsid w:val="00734FF6"/>
    <w:rsid w:val="00737DFA"/>
    <w:rsid w:val="00737FFD"/>
    <w:rsid w:val="00742CD8"/>
    <w:rsid w:val="00742EAB"/>
    <w:rsid w:val="007437E0"/>
    <w:rsid w:val="0074462E"/>
    <w:rsid w:val="00744D14"/>
    <w:rsid w:val="00744F16"/>
    <w:rsid w:val="00745924"/>
    <w:rsid w:val="0074596E"/>
    <w:rsid w:val="00745CDA"/>
    <w:rsid w:val="00747F1A"/>
    <w:rsid w:val="00750FFC"/>
    <w:rsid w:val="007512E7"/>
    <w:rsid w:val="007523B9"/>
    <w:rsid w:val="0075435F"/>
    <w:rsid w:val="0075479D"/>
    <w:rsid w:val="0075498A"/>
    <w:rsid w:val="007557B4"/>
    <w:rsid w:val="00755D83"/>
    <w:rsid w:val="007562BF"/>
    <w:rsid w:val="00756A99"/>
    <w:rsid w:val="00757419"/>
    <w:rsid w:val="00757C17"/>
    <w:rsid w:val="00757D0E"/>
    <w:rsid w:val="00760AB5"/>
    <w:rsid w:val="007611AA"/>
    <w:rsid w:val="00761600"/>
    <w:rsid w:val="0076163B"/>
    <w:rsid w:val="0076221E"/>
    <w:rsid w:val="00762C04"/>
    <w:rsid w:val="007645F1"/>
    <w:rsid w:val="00765419"/>
    <w:rsid w:val="00765B90"/>
    <w:rsid w:val="00766D05"/>
    <w:rsid w:val="00767F9F"/>
    <w:rsid w:val="007707A0"/>
    <w:rsid w:val="00770B02"/>
    <w:rsid w:val="00770F49"/>
    <w:rsid w:val="00771CED"/>
    <w:rsid w:val="00773C8E"/>
    <w:rsid w:val="00774F95"/>
    <w:rsid w:val="00775E31"/>
    <w:rsid w:val="00776D69"/>
    <w:rsid w:val="00777D10"/>
    <w:rsid w:val="00780213"/>
    <w:rsid w:val="00782ADF"/>
    <w:rsid w:val="007834E8"/>
    <w:rsid w:val="00785487"/>
    <w:rsid w:val="007861C0"/>
    <w:rsid w:val="0078765C"/>
    <w:rsid w:val="007877BA"/>
    <w:rsid w:val="00787DA0"/>
    <w:rsid w:val="007900AF"/>
    <w:rsid w:val="0079086A"/>
    <w:rsid w:val="00791158"/>
    <w:rsid w:val="007911F4"/>
    <w:rsid w:val="00791BC3"/>
    <w:rsid w:val="00791DF2"/>
    <w:rsid w:val="007922E4"/>
    <w:rsid w:val="00792344"/>
    <w:rsid w:val="00793A82"/>
    <w:rsid w:val="0079505B"/>
    <w:rsid w:val="00795F9A"/>
    <w:rsid w:val="007977A0"/>
    <w:rsid w:val="007A11E0"/>
    <w:rsid w:val="007A2A6B"/>
    <w:rsid w:val="007A3B4F"/>
    <w:rsid w:val="007A4350"/>
    <w:rsid w:val="007A7279"/>
    <w:rsid w:val="007B0CBD"/>
    <w:rsid w:val="007B2DB3"/>
    <w:rsid w:val="007B3D48"/>
    <w:rsid w:val="007B47C0"/>
    <w:rsid w:val="007B5E91"/>
    <w:rsid w:val="007B66BE"/>
    <w:rsid w:val="007B67F7"/>
    <w:rsid w:val="007B796A"/>
    <w:rsid w:val="007C0173"/>
    <w:rsid w:val="007C0264"/>
    <w:rsid w:val="007C06E3"/>
    <w:rsid w:val="007C2676"/>
    <w:rsid w:val="007C300F"/>
    <w:rsid w:val="007C362B"/>
    <w:rsid w:val="007C4F6A"/>
    <w:rsid w:val="007C5708"/>
    <w:rsid w:val="007C5726"/>
    <w:rsid w:val="007C6FA1"/>
    <w:rsid w:val="007C7057"/>
    <w:rsid w:val="007C7AEA"/>
    <w:rsid w:val="007D01D9"/>
    <w:rsid w:val="007D2663"/>
    <w:rsid w:val="007D2958"/>
    <w:rsid w:val="007D2D50"/>
    <w:rsid w:val="007D2EA6"/>
    <w:rsid w:val="007D4D01"/>
    <w:rsid w:val="007D4E6D"/>
    <w:rsid w:val="007D5300"/>
    <w:rsid w:val="007D5795"/>
    <w:rsid w:val="007D6FF8"/>
    <w:rsid w:val="007D77B3"/>
    <w:rsid w:val="007E0AC5"/>
    <w:rsid w:val="007E2886"/>
    <w:rsid w:val="007E2914"/>
    <w:rsid w:val="007E306B"/>
    <w:rsid w:val="007E402D"/>
    <w:rsid w:val="007E6535"/>
    <w:rsid w:val="007E75D9"/>
    <w:rsid w:val="007F1530"/>
    <w:rsid w:val="007F1DD8"/>
    <w:rsid w:val="007F2750"/>
    <w:rsid w:val="007F369B"/>
    <w:rsid w:val="007F43ED"/>
    <w:rsid w:val="007F4B15"/>
    <w:rsid w:val="007F55EE"/>
    <w:rsid w:val="007F58C7"/>
    <w:rsid w:val="008002B3"/>
    <w:rsid w:val="0080162F"/>
    <w:rsid w:val="00801A35"/>
    <w:rsid w:val="00801CBF"/>
    <w:rsid w:val="00802749"/>
    <w:rsid w:val="00803491"/>
    <w:rsid w:val="00804511"/>
    <w:rsid w:val="008051CF"/>
    <w:rsid w:val="00806B9D"/>
    <w:rsid w:val="00806CF7"/>
    <w:rsid w:val="008078C1"/>
    <w:rsid w:val="00807DEC"/>
    <w:rsid w:val="008100AF"/>
    <w:rsid w:val="00811699"/>
    <w:rsid w:val="00812282"/>
    <w:rsid w:val="00813F38"/>
    <w:rsid w:val="00815927"/>
    <w:rsid w:val="00817BF0"/>
    <w:rsid w:val="008203D4"/>
    <w:rsid w:val="00821299"/>
    <w:rsid w:val="00821781"/>
    <w:rsid w:val="00821E8C"/>
    <w:rsid w:val="00822C5E"/>
    <w:rsid w:val="00823D9A"/>
    <w:rsid w:val="00824194"/>
    <w:rsid w:val="0082491F"/>
    <w:rsid w:val="00825D80"/>
    <w:rsid w:val="00825D88"/>
    <w:rsid w:val="00825EE0"/>
    <w:rsid w:val="00826F0E"/>
    <w:rsid w:val="00827FD4"/>
    <w:rsid w:val="00830B99"/>
    <w:rsid w:val="00830D8F"/>
    <w:rsid w:val="00831347"/>
    <w:rsid w:val="008316E1"/>
    <w:rsid w:val="008322F0"/>
    <w:rsid w:val="00834A8E"/>
    <w:rsid w:val="00834AD1"/>
    <w:rsid w:val="00834D2B"/>
    <w:rsid w:val="0083540F"/>
    <w:rsid w:val="008360EC"/>
    <w:rsid w:val="00837953"/>
    <w:rsid w:val="00837B4A"/>
    <w:rsid w:val="00840708"/>
    <w:rsid w:val="00842C6B"/>
    <w:rsid w:val="00843DE3"/>
    <w:rsid w:val="00847224"/>
    <w:rsid w:val="00847DFC"/>
    <w:rsid w:val="008501F9"/>
    <w:rsid w:val="00850594"/>
    <w:rsid w:val="008532D5"/>
    <w:rsid w:val="00855E78"/>
    <w:rsid w:val="0085716C"/>
    <w:rsid w:val="00857427"/>
    <w:rsid w:val="00860AEF"/>
    <w:rsid w:val="00865116"/>
    <w:rsid w:val="00865632"/>
    <w:rsid w:val="0086572E"/>
    <w:rsid w:val="00866080"/>
    <w:rsid w:val="008674FA"/>
    <w:rsid w:val="0087009A"/>
    <w:rsid w:val="00870B54"/>
    <w:rsid w:val="008738E5"/>
    <w:rsid w:val="008739CC"/>
    <w:rsid w:val="00877552"/>
    <w:rsid w:val="00877873"/>
    <w:rsid w:val="0088033D"/>
    <w:rsid w:val="0088049B"/>
    <w:rsid w:val="008805B1"/>
    <w:rsid w:val="0088277F"/>
    <w:rsid w:val="00882944"/>
    <w:rsid w:val="00882CD7"/>
    <w:rsid w:val="00882E69"/>
    <w:rsid w:val="0088310D"/>
    <w:rsid w:val="00883FD4"/>
    <w:rsid w:val="00886ABB"/>
    <w:rsid w:val="008908FF"/>
    <w:rsid w:val="00891409"/>
    <w:rsid w:val="00893472"/>
    <w:rsid w:val="00893F9E"/>
    <w:rsid w:val="00894394"/>
    <w:rsid w:val="008952F6"/>
    <w:rsid w:val="008955EA"/>
    <w:rsid w:val="00895D11"/>
    <w:rsid w:val="00895D83"/>
    <w:rsid w:val="00896173"/>
    <w:rsid w:val="00897ACE"/>
    <w:rsid w:val="008A00CC"/>
    <w:rsid w:val="008A19C9"/>
    <w:rsid w:val="008A1E8D"/>
    <w:rsid w:val="008A2F73"/>
    <w:rsid w:val="008A56F9"/>
    <w:rsid w:val="008A61B9"/>
    <w:rsid w:val="008A61CC"/>
    <w:rsid w:val="008B02AC"/>
    <w:rsid w:val="008B0E62"/>
    <w:rsid w:val="008B326C"/>
    <w:rsid w:val="008B3490"/>
    <w:rsid w:val="008B58F2"/>
    <w:rsid w:val="008B5C08"/>
    <w:rsid w:val="008B7B61"/>
    <w:rsid w:val="008C02C4"/>
    <w:rsid w:val="008C039D"/>
    <w:rsid w:val="008C0863"/>
    <w:rsid w:val="008C0BE5"/>
    <w:rsid w:val="008C37B6"/>
    <w:rsid w:val="008C5170"/>
    <w:rsid w:val="008C588C"/>
    <w:rsid w:val="008C6BE0"/>
    <w:rsid w:val="008C7DC6"/>
    <w:rsid w:val="008C7EE8"/>
    <w:rsid w:val="008D0EBF"/>
    <w:rsid w:val="008D10A4"/>
    <w:rsid w:val="008D2C09"/>
    <w:rsid w:val="008D3052"/>
    <w:rsid w:val="008D3906"/>
    <w:rsid w:val="008D47A4"/>
    <w:rsid w:val="008D7A6C"/>
    <w:rsid w:val="008E0B46"/>
    <w:rsid w:val="008E0BA0"/>
    <w:rsid w:val="008E0DDB"/>
    <w:rsid w:val="008E1B39"/>
    <w:rsid w:val="008E249D"/>
    <w:rsid w:val="008E28A9"/>
    <w:rsid w:val="008F0584"/>
    <w:rsid w:val="008F076F"/>
    <w:rsid w:val="008F0A1E"/>
    <w:rsid w:val="008F1E65"/>
    <w:rsid w:val="008F2507"/>
    <w:rsid w:val="008F32B3"/>
    <w:rsid w:val="008F511C"/>
    <w:rsid w:val="008F77CE"/>
    <w:rsid w:val="00900125"/>
    <w:rsid w:val="009005B1"/>
    <w:rsid w:val="00900CEC"/>
    <w:rsid w:val="00902955"/>
    <w:rsid w:val="009033FA"/>
    <w:rsid w:val="009038F3"/>
    <w:rsid w:val="009041C5"/>
    <w:rsid w:val="00904203"/>
    <w:rsid w:val="00904DA2"/>
    <w:rsid w:val="00905095"/>
    <w:rsid w:val="009051C7"/>
    <w:rsid w:val="0090625E"/>
    <w:rsid w:val="00906D5D"/>
    <w:rsid w:val="00907176"/>
    <w:rsid w:val="00907313"/>
    <w:rsid w:val="0090781A"/>
    <w:rsid w:val="00907C04"/>
    <w:rsid w:val="00911635"/>
    <w:rsid w:val="00912170"/>
    <w:rsid w:val="00912794"/>
    <w:rsid w:val="0091388B"/>
    <w:rsid w:val="009149AB"/>
    <w:rsid w:val="00914AD7"/>
    <w:rsid w:val="00915103"/>
    <w:rsid w:val="00915FDF"/>
    <w:rsid w:val="00916B38"/>
    <w:rsid w:val="00917060"/>
    <w:rsid w:val="00917FEF"/>
    <w:rsid w:val="0092027A"/>
    <w:rsid w:val="00920408"/>
    <w:rsid w:val="00920816"/>
    <w:rsid w:val="009208F2"/>
    <w:rsid w:val="00921C36"/>
    <w:rsid w:val="0092211A"/>
    <w:rsid w:val="009221C7"/>
    <w:rsid w:val="0092397C"/>
    <w:rsid w:val="00924693"/>
    <w:rsid w:val="00924CD4"/>
    <w:rsid w:val="0092522F"/>
    <w:rsid w:val="00925CAB"/>
    <w:rsid w:val="009264A7"/>
    <w:rsid w:val="009279B7"/>
    <w:rsid w:val="00927C55"/>
    <w:rsid w:val="009312A0"/>
    <w:rsid w:val="009318D4"/>
    <w:rsid w:val="00931DBC"/>
    <w:rsid w:val="0093286C"/>
    <w:rsid w:val="00934413"/>
    <w:rsid w:val="00934711"/>
    <w:rsid w:val="00935074"/>
    <w:rsid w:val="009353B5"/>
    <w:rsid w:val="009367EB"/>
    <w:rsid w:val="00936E0F"/>
    <w:rsid w:val="00937BCF"/>
    <w:rsid w:val="00940138"/>
    <w:rsid w:val="00942A46"/>
    <w:rsid w:val="00942C8C"/>
    <w:rsid w:val="009432A7"/>
    <w:rsid w:val="00943780"/>
    <w:rsid w:val="00945077"/>
    <w:rsid w:val="0094662E"/>
    <w:rsid w:val="00950DCA"/>
    <w:rsid w:val="00952166"/>
    <w:rsid w:val="00952E41"/>
    <w:rsid w:val="00954EDB"/>
    <w:rsid w:val="009551FB"/>
    <w:rsid w:val="00956F03"/>
    <w:rsid w:val="0095739B"/>
    <w:rsid w:val="00962BA3"/>
    <w:rsid w:val="00962C93"/>
    <w:rsid w:val="00963AAB"/>
    <w:rsid w:val="00963BB8"/>
    <w:rsid w:val="00964AAF"/>
    <w:rsid w:val="00965AC5"/>
    <w:rsid w:val="00965EDF"/>
    <w:rsid w:val="00966970"/>
    <w:rsid w:val="00966AA4"/>
    <w:rsid w:val="009700A7"/>
    <w:rsid w:val="00970E78"/>
    <w:rsid w:val="0097194E"/>
    <w:rsid w:val="00971FAF"/>
    <w:rsid w:val="00972BA2"/>
    <w:rsid w:val="00973355"/>
    <w:rsid w:val="00973869"/>
    <w:rsid w:val="00973B92"/>
    <w:rsid w:val="00973FF0"/>
    <w:rsid w:val="009748BD"/>
    <w:rsid w:val="00974E1B"/>
    <w:rsid w:val="009755D8"/>
    <w:rsid w:val="00976959"/>
    <w:rsid w:val="00976AA6"/>
    <w:rsid w:val="00980494"/>
    <w:rsid w:val="00980A58"/>
    <w:rsid w:val="009810E7"/>
    <w:rsid w:val="00981E99"/>
    <w:rsid w:val="0098531B"/>
    <w:rsid w:val="0098547F"/>
    <w:rsid w:val="00985603"/>
    <w:rsid w:val="00985BE5"/>
    <w:rsid w:val="00985EBF"/>
    <w:rsid w:val="00987ACC"/>
    <w:rsid w:val="00992AAD"/>
    <w:rsid w:val="0099362D"/>
    <w:rsid w:val="00994633"/>
    <w:rsid w:val="00994A0D"/>
    <w:rsid w:val="00994FD3"/>
    <w:rsid w:val="00995683"/>
    <w:rsid w:val="009958FD"/>
    <w:rsid w:val="009959B5"/>
    <w:rsid w:val="009967A8"/>
    <w:rsid w:val="009979FA"/>
    <w:rsid w:val="009A0CD0"/>
    <w:rsid w:val="009A1D3A"/>
    <w:rsid w:val="009A341E"/>
    <w:rsid w:val="009A4B10"/>
    <w:rsid w:val="009B0EDF"/>
    <w:rsid w:val="009B1393"/>
    <w:rsid w:val="009B3D62"/>
    <w:rsid w:val="009B44B4"/>
    <w:rsid w:val="009B4A55"/>
    <w:rsid w:val="009B552E"/>
    <w:rsid w:val="009B6154"/>
    <w:rsid w:val="009C256D"/>
    <w:rsid w:val="009C392F"/>
    <w:rsid w:val="009C3C23"/>
    <w:rsid w:val="009C5BA2"/>
    <w:rsid w:val="009C5BD3"/>
    <w:rsid w:val="009C6D41"/>
    <w:rsid w:val="009D1B00"/>
    <w:rsid w:val="009D1F9D"/>
    <w:rsid w:val="009D31B9"/>
    <w:rsid w:val="009D3697"/>
    <w:rsid w:val="009D4DB7"/>
    <w:rsid w:val="009D679D"/>
    <w:rsid w:val="009D6BEA"/>
    <w:rsid w:val="009D741A"/>
    <w:rsid w:val="009D77B8"/>
    <w:rsid w:val="009E0090"/>
    <w:rsid w:val="009E039F"/>
    <w:rsid w:val="009E3833"/>
    <w:rsid w:val="009E41DD"/>
    <w:rsid w:val="009E4619"/>
    <w:rsid w:val="009E5431"/>
    <w:rsid w:val="009E561B"/>
    <w:rsid w:val="009E5C52"/>
    <w:rsid w:val="009E691D"/>
    <w:rsid w:val="009E786A"/>
    <w:rsid w:val="009E7877"/>
    <w:rsid w:val="009F0365"/>
    <w:rsid w:val="009F0868"/>
    <w:rsid w:val="009F12B5"/>
    <w:rsid w:val="009F1832"/>
    <w:rsid w:val="009F1E30"/>
    <w:rsid w:val="009F3724"/>
    <w:rsid w:val="009F3798"/>
    <w:rsid w:val="009F3C70"/>
    <w:rsid w:val="009F4688"/>
    <w:rsid w:val="009F5660"/>
    <w:rsid w:val="009F5A2C"/>
    <w:rsid w:val="009F6047"/>
    <w:rsid w:val="009F6B93"/>
    <w:rsid w:val="009F7D2C"/>
    <w:rsid w:val="009F7EC4"/>
    <w:rsid w:val="00A00930"/>
    <w:rsid w:val="00A00C49"/>
    <w:rsid w:val="00A01AA3"/>
    <w:rsid w:val="00A03ED4"/>
    <w:rsid w:val="00A04458"/>
    <w:rsid w:val="00A04842"/>
    <w:rsid w:val="00A05280"/>
    <w:rsid w:val="00A06999"/>
    <w:rsid w:val="00A07EED"/>
    <w:rsid w:val="00A103BB"/>
    <w:rsid w:val="00A10BF2"/>
    <w:rsid w:val="00A10D84"/>
    <w:rsid w:val="00A11884"/>
    <w:rsid w:val="00A125F9"/>
    <w:rsid w:val="00A12960"/>
    <w:rsid w:val="00A136A6"/>
    <w:rsid w:val="00A14864"/>
    <w:rsid w:val="00A14955"/>
    <w:rsid w:val="00A14D3F"/>
    <w:rsid w:val="00A16011"/>
    <w:rsid w:val="00A168C7"/>
    <w:rsid w:val="00A20768"/>
    <w:rsid w:val="00A211E9"/>
    <w:rsid w:val="00A2121B"/>
    <w:rsid w:val="00A22715"/>
    <w:rsid w:val="00A22B41"/>
    <w:rsid w:val="00A254F5"/>
    <w:rsid w:val="00A2798D"/>
    <w:rsid w:val="00A27D8E"/>
    <w:rsid w:val="00A30425"/>
    <w:rsid w:val="00A30845"/>
    <w:rsid w:val="00A31FE8"/>
    <w:rsid w:val="00A321D9"/>
    <w:rsid w:val="00A32B8E"/>
    <w:rsid w:val="00A338FB"/>
    <w:rsid w:val="00A3431A"/>
    <w:rsid w:val="00A34FAE"/>
    <w:rsid w:val="00A35230"/>
    <w:rsid w:val="00A35BD4"/>
    <w:rsid w:val="00A3604F"/>
    <w:rsid w:val="00A377C7"/>
    <w:rsid w:val="00A37F3A"/>
    <w:rsid w:val="00A4274D"/>
    <w:rsid w:val="00A42C82"/>
    <w:rsid w:val="00A430AC"/>
    <w:rsid w:val="00A4398F"/>
    <w:rsid w:val="00A44E92"/>
    <w:rsid w:val="00A455EE"/>
    <w:rsid w:val="00A4699E"/>
    <w:rsid w:val="00A46BCA"/>
    <w:rsid w:val="00A474FB"/>
    <w:rsid w:val="00A47CC9"/>
    <w:rsid w:val="00A50D40"/>
    <w:rsid w:val="00A513AB"/>
    <w:rsid w:val="00A513D1"/>
    <w:rsid w:val="00A523E9"/>
    <w:rsid w:val="00A52DCD"/>
    <w:rsid w:val="00A534F1"/>
    <w:rsid w:val="00A5496A"/>
    <w:rsid w:val="00A5595C"/>
    <w:rsid w:val="00A55CAC"/>
    <w:rsid w:val="00A56B85"/>
    <w:rsid w:val="00A61139"/>
    <w:rsid w:val="00A61624"/>
    <w:rsid w:val="00A6447C"/>
    <w:rsid w:val="00A67A2B"/>
    <w:rsid w:val="00A70359"/>
    <w:rsid w:val="00A71057"/>
    <w:rsid w:val="00A7117B"/>
    <w:rsid w:val="00A71E49"/>
    <w:rsid w:val="00A72AA1"/>
    <w:rsid w:val="00A73B19"/>
    <w:rsid w:val="00A7436A"/>
    <w:rsid w:val="00A7488E"/>
    <w:rsid w:val="00A7603C"/>
    <w:rsid w:val="00A77C72"/>
    <w:rsid w:val="00A77EB0"/>
    <w:rsid w:val="00A8059D"/>
    <w:rsid w:val="00A80ABB"/>
    <w:rsid w:val="00A80BAD"/>
    <w:rsid w:val="00A813EC"/>
    <w:rsid w:val="00A82C7D"/>
    <w:rsid w:val="00A83DDF"/>
    <w:rsid w:val="00A83FEB"/>
    <w:rsid w:val="00A84085"/>
    <w:rsid w:val="00A85FBE"/>
    <w:rsid w:val="00A86455"/>
    <w:rsid w:val="00A86F8D"/>
    <w:rsid w:val="00A870D0"/>
    <w:rsid w:val="00A8729B"/>
    <w:rsid w:val="00A91CD4"/>
    <w:rsid w:val="00A9294A"/>
    <w:rsid w:val="00A94669"/>
    <w:rsid w:val="00A94CE8"/>
    <w:rsid w:val="00A950C3"/>
    <w:rsid w:val="00A95131"/>
    <w:rsid w:val="00A97236"/>
    <w:rsid w:val="00A973D8"/>
    <w:rsid w:val="00A97673"/>
    <w:rsid w:val="00AA0C61"/>
    <w:rsid w:val="00AA1291"/>
    <w:rsid w:val="00AA23E1"/>
    <w:rsid w:val="00AA39DF"/>
    <w:rsid w:val="00AA3DE5"/>
    <w:rsid w:val="00AA538B"/>
    <w:rsid w:val="00AA632C"/>
    <w:rsid w:val="00AA6459"/>
    <w:rsid w:val="00AB0295"/>
    <w:rsid w:val="00AB029A"/>
    <w:rsid w:val="00AB08EA"/>
    <w:rsid w:val="00AB0D35"/>
    <w:rsid w:val="00AB22B4"/>
    <w:rsid w:val="00AB3851"/>
    <w:rsid w:val="00AB3E72"/>
    <w:rsid w:val="00AB405F"/>
    <w:rsid w:val="00AB4CD2"/>
    <w:rsid w:val="00AB547D"/>
    <w:rsid w:val="00AB5803"/>
    <w:rsid w:val="00AB6404"/>
    <w:rsid w:val="00AB65CD"/>
    <w:rsid w:val="00AB7A1C"/>
    <w:rsid w:val="00AB7A66"/>
    <w:rsid w:val="00AB7CC6"/>
    <w:rsid w:val="00AC0807"/>
    <w:rsid w:val="00AC0A78"/>
    <w:rsid w:val="00AC0E86"/>
    <w:rsid w:val="00AC147B"/>
    <w:rsid w:val="00AC1761"/>
    <w:rsid w:val="00AC5958"/>
    <w:rsid w:val="00AC66EF"/>
    <w:rsid w:val="00AC71C0"/>
    <w:rsid w:val="00AC78C4"/>
    <w:rsid w:val="00AD0804"/>
    <w:rsid w:val="00AD16EE"/>
    <w:rsid w:val="00AD2BFA"/>
    <w:rsid w:val="00AD38A4"/>
    <w:rsid w:val="00AD3B56"/>
    <w:rsid w:val="00AD5FFC"/>
    <w:rsid w:val="00AD60BC"/>
    <w:rsid w:val="00AD6503"/>
    <w:rsid w:val="00AD6848"/>
    <w:rsid w:val="00AE06F8"/>
    <w:rsid w:val="00AE3B45"/>
    <w:rsid w:val="00AE45E3"/>
    <w:rsid w:val="00AE4C0B"/>
    <w:rsid w:val="00AE4DF2"/>
    <w:rsid w:val="00AE6564"/>
    <w:rsid w:val="00AE6C9B"/>
    <w:rsid w:val="00AE6CA6"/>
    <w:rsid w:val="00AE7984"/>
    <w:rsid w:val="00AE7B79"/>
    <w:rsid w:val="00AF03CE"/>
    <w:rsid w:val="00AF0774"/>
    <w:rsid w:val="00AF127D"/>
    <w:rsid w:val="00AF1883"/>
    <w:rsid w:val="00AF3281"/>
    <w:rsid w:val="00AF33A5"/>
    <w:rsid w:val="00AF3C57"/>
    <w:rsid w:val="00AF4175"/>
    <w:rsid w:val="00AF4CAD"/>
    <w:rsid w:val="00AF64D1"/>
    <w:rsid w:val="00AF7DC9"/>
    <w:rsid w:val="00B02045"/>
    <w:rsid w:val="00B02395"/>
    <w:rsid w:val="00B03F95"/>
    <w:rsid w:val="00B06082"/>
    <w:rsid w:val="00B06BA3"/>
    <w:rsid w:val="00B10AFC"/>
    <w:rsid w:val="00B11E48"/>
    <w:rsid w:val="00B12135"/>
    <w:rsid w:val="00B12C42"/>
    <w:rsid w:val="00B12EEA"/>
    <w:rsid w:val="00B132C5"/>
    <w:rsid w:val="00B13508"/>
    <w:rsid w:val="00B14845"/>
    <w:rsid w:val="00B15A96"/>
    <w:rsid w:val="00B16044"/>
    <w:rsid w:val="00B170C2"/>
    <w:rsid w:val="00B17192"/>
    <w:rsid w:val="00B179B1"/>
    <w:rsid w:val="00B17EBA"/>
    <w:rsid w:val="00B20566"/>
    <w:rsid w:val="00B207A3"/>
    <w:rsid w:val="00B21CE5"/>
    <w:rsid w:val="00B23AE1"/>
    <w:rsid w:val="00B25274"/>
    <w:rsid w:val="00B25A0A"/>
    <w:rsid w:val="00B26322"/>
    <w:rsid w:val="00B26545"/>
    <w:rsid w:val="00B27277"/>
    <w:rsid w:val="00B276F0"/>
    <w:rsid w:val="00B27BEC"/>
    <w:rsid w:val="00B306F1"/>
    <w:rsid w:val="00B30DEB"/>
    <w:rsid w:val="00B314B3"/>
    <w:rsid w:val="00B31EF6"/>
    <w:rsid w:val="00B32AC6"/>
    <w:rsid w:val="00B33371"/>
    <w:rsid w:val="00B3360A"/>
    <w:rsid w:val="00B35637"/>
    <w:rsid w:val="00B35D26"/>
    <w:rsid w:val="00B370B2"/>
    <w:rsid w:val="00B37557"/>
    <w:rsid w:val="00B40F0D"/>
    <w:rsid w:val="00B4210E"/>
    <w:rsid w:val="00B42951"/>
    <w:rsid w:val="00B450CD"/>
    <w:rsid w:val="00B45182"/>
    <w:rsid w:val="00B50D69"/>
    <w:rsid w:val="00B511C0"/>
    <w:rsid w:val="00B52FD2"/>
    <w:rsid w:val="00B53641"/>
    <w:rsid w:val="00B53808"/>
    <w:rsid w:val="00B549FA"/>
    <w:rsid w:val="00B5508F"/>
    <w:rsid w:val="00B563A4"/>
    <w:rsid w:val="00B57111"/>
    <w:rsid w:val="00B610B2"/>
    <w:rsid w:val="00B61699"/>
    <w:rsid w:val="00B62DB5"/>
    <w:rsid w:val="00B63C60"/>
    <w:rsid w:val="00B63D79"/>
    <w:rsid w:val="00B6432C"/>
    <w:rsid w:val="00B64727"/>
    <w:rsid w:val="00B64BBB"/>
    <w:rsid w:val="00B64DC7"/>
    <w:rsid w:val="00B64FB0"/>
    <w:rsid w:val="00B6510D"/>
    <w:rsid w:val="00B660C6"/>
    <w:rsid w:val="00B70341"/>
    <w:rsid w:val="00B709E6"/>
    <w:rsid w:val="00B70D0D"/>
    <w:rsid w:val="00B70EB3"/>
    <w:rsid w:val="00B71C3A"/>
    <w:rsid w:val="00B74F4E"/>
    <w:rsid w:val="00B75745"/>
    <w:rsid w:val="00B75824"/>
    <w:rsid w:val="00B75A52"/>
    <w:rsid w:val="00B769F0"/>
    <w:rsid w:val="00B80CBB"/>
    <w:rsid w:val="00B81592"/>
    <w:rsid w:val="00B8262A"/>
    <w:rsid w:val="00B82D66"/>
    <w:rsid w:val="00B843DD"/>
    <w:rsid w:val="00B84557"/>
    <w:rsid w:val="00B846EC"/>
    <w:rsid w:val="00B84C41"/>
    <w:rsid w:val="00B865AB"/>
    <w:rsid w:val="00B87325"/>
    <w:rsid w:val="00B87F1A"/>
    <w:rsid w:val="00B915FC"/>
    <w:rsid w:val="00B9175F"/>
    <w:rsid w:val="00B92AC9"/>
    <w:rsid w:val="00B92B59"/>
    <w:rsid w:val="00B92B8D"/>
    <w:rsid w:val="00B93317"/>
    <w:rsid w:val="00B9531F"/>
    <w:rsid w:val="00B9596A"/>
    <w:rsid w:val="00B9659A"/>
    <w:rsid w:val="00B96A3D"/>
    <w:rsid w:val="00B97605"/>
    <w:rsid w:val="00BA0A55"/>
    <w:rsid w:val="00BA1002"/>
    <w:rsid w:val="00BA273F"/>
    <w:rsid w:val="00BA2A5B"/>
    <w:rsid w:val="00BA3246"/>
    <w:rsid w:val="00BA3950"/>
    <w:rsid w:val="00BA3EF3"/>
    <w:rsid w:val="00BA4036"/>
    <w:rsid w:val="00BA4122"/>
    <w:rsid w:val="00BA424C"/>
    <w:rsid w:val="00BA4813"/>
    <w:rsid w:val="00BA48BF"/>
    <w:rsid w:val="00BA4A86"/>
    <w:rsid w:val="00BA51CD"/>
    <w:rsid w:val="00BA53E2"/>
    <w:rsid w:val="00BA5FCA"/>
    <w:rsid w:val="00BB0546"/>
    <w:rsid w:val="00BB13DD"/>
    <w:rsid w:val="00BB2569"/>
    <w:rsid w:val="00BB27CB"/>
    <w:rsid w:val="00BB29CD"/>
    <w:rsid w:val="00BB30DA"/>
    <w:rsid w:val="00BB37A2"/>
    <w:rsid w:val="00BB4AFB"/>
    <w:rsid w:val="00BB5C08"/>
    <w:rsid w:val="00BB6943"/>
    <w:rsid w:val="00BC0483"/>
    <w:rsid w:val="00BC0D27"/>
    <w:rsid w:val="00BC15A5"/>
    <w:rsid w:val="00BC1CFA"/>
    <w:rsid w:val="00BC3510"/>
    <w:rsid w:val="00BC39B7"/>
    <w:rsid w:val="00BC3C8A"/>
    <w:rsid w:val="00BC3F1F"/>
    <w:rsid w:val="00BD0052"/>
    <w:rsid w:val="00BD04FF"/>
    <w:rsid w:val="00BD09DA"/>
    <w:rsid w:val="00BD1270"/>
    <w:rsid w:val="00BD1CBB"/>
    <w:rsid w:val="00BD36B8"/>
    <w:rsid w:val="00BD4409"/>
    <w:rsid w:val="00BD4983"/>
    <w:rsid w:val="00BD6348"/>
    <w:rsid w:val="00BD6E0E"/>
    <w:rsid w:val="00BD6F5B"/>
    <w:rsid w:val="00BD7127"/>
    <w:rsid w:val="00BD7B62"/>
    <w:rsid w:val="00BE0B84"/>
    <w:rsid w:val="00BE13E3"/>
    <w:rsid w:val="00BE1820"/>
    <w:rsid w:val="00BE2D7D"/>
    <w:rsid w:val="00BE4334"/>
    <w:rsid w:val="00BE78F1"/>
    <w:rsid w:val="00BF031F"/>
    <w:rsid w:val="00BF043C"/>
    <w:rsid w:val="00BF138B"/>
    <w:rsid w:val="00BF1A72"/>
    <w:rsid w:val="00BF252A"/>
    <w:rsid w:val="00BF2838"/>
    <w:rsid w:val="00BF334F"/>
    <w:rsid w:val="00BF3A87"/>
    <w:rsid w:val="00BF41F6"/>
    <w:rsid w:val="00BF5C76"/>
    <w:rsid w:val="00BF5FFE"/>
    <w:rsid w:val="00BF6517"/>
    <w:rsid w:val="00BF6EA3"/>
    <w:rsid w:val="00BF7475"/>
    <w:rsid w:val="00C00666"/>
    <w:rsid w:val="00C00BA5"/>
    <w:rsid w:val="00C01585"/>
    <w:rsid w:val="00C0168A"/>
    <w:rsid w:val="00C04E22"/>
    <w:rsid w:val="00C07D19"/>
    <w:rsid w:val="00C11201"/>
    <w:rsid w:val="00C13BA7"/>
    <w:rsid w:val="00C1487D"/>
    <w:rsid w:val="00C14A2E"/>
    <w:rsid w:val="00C15996"/>
    <w:rsid w:val="00C169F4"/>
    <w:rsid w:val="00C177DC"/>
    <w:rsid w:val="00C17B76"/>
    <w:rsid w:val="00C2070C"/>
    <w:rsid w:val="00C22E71"/>
    <w:rsid w:val="00C23A23"/>
    <w:rsid w:val="00C241D8"/>
    <w:rsid w:val="00C25210"/>
    <w:rsid w:val="00C259EC"/>
    <w:rsid w:val="00C25D44"/>
    <w:rsid w:val="00C2628A"/>
    <w:rsid w:val="00C2756C"/>
    <w:rsid w:val="00C27DE8"/>
    <w:rsid w:val="00C324F1"/>
    <w:rsid w:val="00C34BC1"/>
    <w:rsid w:val="00C34EC2"/>
    <w:rsid w:val="00C353FF"/>
    <w:rsid w:val="00C35502"/>
    <w:rsid w:val="00C35AB3"/>
    <w:rsid w:val="00C36269"/>
    <w:rsid w:val="00C36475"/>
    <w:rsid w:val="00C368C7"/>
    <w:rsid w:val="00C36ABC"/>
    <w:rsid w:val="00C36AE1"/>
    <w:rsid w:val="00C40B6E"/>
    <w:rsid w:val="00C43CE1"/>
    <w:rsid w:val="00C44B51"/>
    <w:rsid w:val="00C44D7A"/>
    <w:rsid w:val="00C45A9B"/>
    <w:rsid w:val="00C45D5E"/>
    <w:rsid w:val="00C4786B"/>
    <w:rsid w:val="00C5218C"/>
    <w:rsid w:val="00C55040"/>
    <w:rsid w:val="00C62005"/>
    <w:rsid w:val="00C62705"/>
    <w:rsid w:val="00C62A59"/>
    <w:rsid w:val="00C62D20"/>
    <w:rsid w:val="00C648B5"/>
    <w:rsid w:val="00C64D6C"/>
    <w:rsid w:val="00C64EB7"/>
    <w:rsid w:val="00C66BC4"/>
    <w:rsid w:val="00C70955"/>
    <w:rsid w:val="00C74D4A"/>
    <w:rsid w:val="00C75502"/>
    <w:rsid w:val="00C75819"/>
    <w:rsid w:val="00C766D1"/>
    <w:rsid w:val="00C76C31"/>
    <w:rsid w:val="00C77388"/>
    <w:rsid w:val="00C773F8"/>
    <w:rsid w:val="00C77A89"/>
    <w:rsid w:val="00C77A9D"/>
    <w:rsid w:val="00C77B0B"/>
    <w:rsid w:val="00C77FDF"/>
    <w:rsid w:val="00C81389"/>
    <w:rsid w:val="00C813A8"/>
    <w:rsid w:val="00C84B1E"/>
    <w:rsid w:val="00C84FD2"/>
    <w:rsid w:val="00C857D0"/>
    <w:rsid w:val="00C859C1"/>
    <w:rsid w:val="00C8646B"/>
    <w:rsid w:val="00C86903"/>
    <w:rsid w:val="00C869E7"/>
    <w:rsid w:val="00C87E65"/>
    <w:rsid w:val="00C87EE2"/>
    <w:rsid w:val="00C87FCD"/>
    <w:rsid w:val="00C9034E"/>
    <w:rsid w:val="00C90CC2"/>
    <w:rsid w:val="00C91021"/>
    <w:rsid w:val="00C924DA"/>
    <w:rsid w:val="00C937BC"/>
    <w:rsid w:val="00C93D25"/>
    <w:rsid w:val="00C9480E"/>
    <w:rsid w:val="00C94BE0"/>
    <w:rsid w:val="00C960F7"/>
    <w:rsid w:val="00C96212"/>
    <w:rsid w:val="00C96D14"/>
    <w:rsid w:val="00C97335"/>
    <w:rsid w:val="00C97985"/>
    <w:rsid w:val="00CA0710"/>
    <w:rsid w:val="00CA0D71"/>
    <w:rsid w:val="00CA0DEE"/>
    <w:rsid w:val="00CA3E2B"/>
    <w:rsid w:val="00CA4332"/>
    <w:rsid w:val="00CA43F8"/>
    <w:rsid w:val="00CA4443"/>
    <w:rsid w:val="00CA571C"/>
    <w:rsid w:val="00CA6032"/>
    <w:rsid w:val="00CA66A9"/>
    <w:rsid w:val="00CB0C8A"/>
    <w:rsid w:val="00CB149F"/>
    <w:rsid w:val="00CB2CAE"/>
    <w:rsid w:val="00CB2D47"/>
    <w:rsid w:val="00CB3187"/>
    <w:rsid w:val="00CB34E5"/>
    <w:rsid w:val="00CB448C"/>
    <w:rsid w:val="00CB5B91"/>
    <w:rsid w:val="00CB6FEF"/>
    <w:rsid w:val="00CB7137"/>
    <w:rsid w:val="00CC1E28"/>
    <w:rsid w:val="00CC1F3D"/>
    <w:rsid w:val="00CC258A"/>
    <w:rsid w:val="00CC34F5"/>
    <w:rsid w:val="00CC448B"/>
    <w:rsid w:val="00CC45A7"/>
    <w:rsid w:val="00CC5016"/>
    <w:rsid w:val="00CC5C5C"/>
    <w:rsid w:val="00CC6350"/>
    <w:rsid w:val="00CC77D2"/>
    <w:rsid w:val="00CC7A0E"/>
    <w:rsid w:val="00CC7A73"/>
    <w:rsid w:val="00CD0BA9"/>
    <w:rsid w:val="00CD2E67"/>
    <w:rsid w:val="00CD318F"/>
    <w:rsid w:val="00CD42C3"/>
    <w:rsid w:val="00CD4B7F"/>
    <w:rsid w:val="00CD6F56"/>
    <w:rsid w:val="00CE1482"/>
    <w:rsid w:val="00CE2627"/>
    <w:rsid w:val="00CE2F45"/>
    <w:rsid w:val="00CE3A23"/>
    <w:rsid w:val="00CE3B60"/>
    <w:rsid w:val="00CE45E5"/>
    <w:rsid w:val="00CE7D69"/>
    <w:rsid w:val="00CF189D"/>
    <w:rsid w:val="00CF3740"/>
    <w:rsid w:val="00CF7D6B"/>
    <w:rsid w:val="00D04B84"/>
    <w:rsid w:val="00D04DD1"/>
    <w:rsid w:val="00D06AA9"/>
    <w:rsid w:val="00D0779A"/>
    <w:rsid w:val="00D106C5"/>
    <w:rsid w:val="00D112D3"/>
    <w:rsid w:val="00D113F9"/>
    <w:rsid w:val="00D13FAF"/>
    <w:rsid w:val="00D1473C"/>
    <w:rsid w:val="00D1476D"/>
    <w:rsid w:val="00D149AE"/>
    <w:rsid w:val="00D16495"/>
    <w:rsid w:val="00D17009"/>
    <w:rsid w:val="00D171BC"/>
    <w:rsid w:val="00D204BA"/>
    <w:rsid w:val="00D20933"/>
    <w:rsid w:val="00D212E7"/>
    <w:rsid w:val="00D226C8"/>
    <w:rsid w:val="00D22E64"/>
    <w:rsid w:val="00D2350B"/>
    <w:rsid w:val="00D24EB3"/>
    <w:rsid w:val="00D2786D"/>
    <w:rsid w:val="00D30BE0"/>
    <w:rsid w:val="00D31380"/>
    <w:rsid w:val="00D31874"/>
    <w:rsid w:val="00D324BF"/>
    <w:rsid w:val="00D3271B"/>
    <w:rsid w:val="00D32A35"/>
    <w:rsid w:val="00D32FA7"/>
    <w:rsid w:val="00D32FFA"/>
    <w:rsid w:val="00D35FCD"/>
    <w:rsid w:val="00D36FC5"/>
    <w:rsid w:val="00D373DB"/>
    <w:rsid w:val="00D407FD"/>
    <w:rsid w:val="00D41FDF"/>
    <w:rsid w:val="00D43DBD"/>
    <w:rsid w:val="00D44EFC"/>
    <w:rsid w:val="00D4512F"/>
    <w:rsid w:val="00D4571F"/>
    <w:rsid w:val="00D45CF9"/>
    <w:rsid w:val="00D4755F"/>
    <w:rsid w:val="00D506DB"/>
    <w:rsid w:val="00D5204E"/>
    <w:rsid w:val="00D5372B"/>
    <w:rsid w:val="00D544E5"/>
    <w:rsid w:val="00D54725"/>
    <w:rsid w:val="00D55EA3"/>
    <w:rsid w:val="00D6002C"/>
    <w:rsid w:val="00D618BC"/>
    <w:rsid w:val="00D61A97"/>
    <w:rsid w:val="00D621EA"/>
    <w:rsid w:val="00D629BA"/>
    <w:rsid w:val="00D64953"/>
    <w:rsid w:val="00D6501C"/>
    <w:rsid w:val="00D6518D"/>
    <w:rsid w:val="00D67C38"/>
    <w:rsid w:val="00D67E4D"/>
    <w:rsid w:val="00D70EF8"/>
    <w:rsid w:val="00D71088"/>
    <w:rsid w:val="00D713BF"/>
    <w:rsid w:val="00D71689"/>
    <w:rsid w:val="00D71F57"/>
    <w:rsid w:val="00D731FF"/>
    <w:rsid w:val="00D735D3"/>
    <w:rsid w:val="00D73888"/>
    <w:rsid w:val="00D73CA9"/>
    <w:rsid w:val="00D73EBB"/>
    <w:rsid w:val="00D764E0"/>
    <w:rsid w:val="00D76A6B"/>
    <w:rsid w:val="00D76ABA"/>
    <w:rsid w:val="00D804F1"/>
    <w:rsid w:val="00D81660"/>
    <w:rsid w:val="00D81793"/>
    <w:rsid w:val="00D8290F"/>
    <w:rsid w:val="00D83646"/>
    <w:rsid w:val="00D83C11"/>
    <w:rsid w:val="00D8400C"/>
    <w:rsid w:val="00D865D2"/>
    <w:rsid w:val="00D8702D"/>
    <w:rsid w:val="00D87615"/>
    <w:rsid w:val="00D87B7C"/>
    <w:rsid w:val="00D9023B"/>
    <w:rsid w:val="00D9045E"/>
    <w:rsid w:val="00D91211"/>
    <w:rsid w:val="00D926A7"/>
    <w:rsid w:val="00D926D1"/>
    <w:rsid w:val="00D92B87"/>
    <w:rsid w:val="00D93B57"/>
    <w:rsid w:val="00D94329"/>
    <w:rsid w:val="00D944C4"/>
    <w:rsid w:val="00D94F9C"/>
    <w:rsid w:val="00D9505B"/>
    <w:rsid w:val="00D95409"/>
    <w:rsid w:val="00D95E46"/>
    <w:rsid w:val="00D96328"/>
    <w:rsid w:val="00D96AA2"/>
    <w:rsid w:val="00D97024"/>
    <w:rsid w:val="00D97EF5"/>
    <w:rsid w:val="00DA0AB2"/>
    <w:rsid w:val="00DA1B36"/>
    <w:rsid w:val="00DA24E9"/>
    <w:rsid w:val="00DA28B4"/>
    <w:rsid w:val="00DA3122"/>
    <w:rsid w:val="00DA4134"/>
    <w:rsid w:val="00DA46D4"/>
    <w:rsid w:val="00DA61C2"/>
    <w:rsid w:val="00DA6912"/>
    <w:rsid w:val="00DB11C8"/>
    <w:rsid w:val="00DB124A"/>
    <w:rsid w:val="00DB2748"/>
    <w:rsid w:val="00DB355D"/>
    <w:rsid w:val="00DB3978"/>
    <w:rsid w:val="00DB3CA1"/>
    <w:rsid w:val="00DB6549"/>
    <w:rsid w:val="00DB7341"/>
    <w:rsid w:val="00DC2217"/>
    <w:rsid w:val="00DC2C30"/>
    <w:rsid w:val="00DC48A7"/>
    <w:rsid w:val="00DC6F95"/>
    <w:rsid w:val="00DC77F5"/>
    <w:rsid w:val="00DC78E8"/>
    <w:rsid w:val="00DD109E"/>
    <w:rsid w:val="00DD1213"/>
    <w:rsid w:val="00DD17DB"/>
    <w:rsid w:val="00DD19D9"/>
    <w:rsid w:val="00DD3730"/>
    <w:rsid w:val="00DD4184"/>
    <w:rsid w:val="00DD4D76"/>
    <w:rsid w:val="00DD4F63"/>
    <w:rsid w:val="00DD6AA2"/>
    <w:rsid w:val="00DE04F2"/>
    <w:rsid w:val="00DE123E"/>
    <w:rsid w:val="00DE2E4E"/>
    <w:rsid w:val="00DE35A1"/>
    <w:rsid w:val="00DE4217"/>
    <w:rsid w:val="00DE5F3B"/>
    <w:rsid w:val="00DE676A"/>
    <w:rsid w:val="00DE7C90"/>
    <w:rsid w:val="00DF005D"/>
    <w:rsid w:val="00DF0A75"/>
    <w:rsid w:val="00DF32ED"/>
    <w:rsid w:val="00DF33FA"/>
    <w:rsid w:val="00DF3C0B"/>
    <w:rsid w:val="00DF3E96"/>
    <w:rsid w:val="00DF40C3"/>
    <w:rsid w:val="00DF41DA"/>
    <w:rsid w:val="00DF49BF"/>
    <w:rsid w:val="00DF4AC9"/>
    <w:rsid w:val="00DF4F93"/>
    <w:rsid w:val="00DF524F"/>
    <w:rsid w:val="00DF52D4"/>
    <w:rsid w:val="00DF6F8E"/>
    <w:rsid w:val="00DF74A4"/>
    <w:rsid w:val="00DF7CA4"/>
    <w:rsid w:val="00E0221E"/>
    <w:rsid w:val="00E053EA"/>
    <w:rsid w:val="00E05854"/>
    <w:rsid w:val="00E05CBF"/>
    <w:rsid w:val="00E06888"/>
    <w:rsid w:val="00E07390"/>
    <w:rsid w:val="00E074F1"/>
    <w:rsid w:val="00E07675"/>
    <w:rsid w:val="00E079E5"/>
    <w:rsid w:val="00E10652"/>
    <w:rsid w:val="00E1070F"/>
    <w:rsid w:val="00E11276"/>
    <w:rsid w:val="00E12F55"/>
    <w:rsid w:val="00E14C4B"/>
    <w:rsid w:val="00E16026"/>
    <w:rsid w:val="00E2038F"/>
    <w:rsid w:val="00E203C4"/>
    <w:rsid w:val="00E2086B"/>
    <w:rsid w:val="00E20F53"/>
    <w:rsid w:val="00E22CE7"/>
    <w:rsid w:val="00E23B2E"/>
    <w:rsid w:val="00E24A35"/>
    <w:rsid w:val="00E25402"/>
    <w:rsid w:val="00E25EE3"/>
    <w:rsid w:val="00E25F4B"/>
    <w:rsid w:val="00E25FBB"/>
    <w:rsid w:val="00E26C78"/>
    <w:rsid w:val="00E27704"/>
    <w:rsid w:val="00E279C2"/>
    <w:rsid w:val="00E27F9E"/>
    <w:rsid w:val="00E3081D"/>
    <w:rsid w:val="00E32F7A"/>
    <w:rsid w:val="00E336BC"/>
    <w:rsid w:val="00E33C51"/>
    <w:rsid w:val="00E33E08"/>
    <w:rsid w:val="00E33EAC"/>
    <w:rsid w:val="00E3497B"/>
    <w:rsid w:val="00E36221"/>
    <w:rsid w:val="00E363E7"/>
    <w:rsid w:val="00E36ECC"/>
    <w:rsid w:val="00E3783F"/>
    <w:rsid w:val="00E3791F"/>
    <w:rsid w:val="00E37D0F"/>
    <w:rsid w:val="00E401C1"/>
    <w:rsid w:val="00E41388"/>
    <w:rsid w:val="00E427D0"/>
    <w:rsid w:val="00E42EF5"/>
    <w:rsid w:val="00E43E1D"/>
    <w:rsid w:val="00E45D41"/>
    <w:rsid w:val="00E4664E"/>
    <w:rsid w:val="00E46826"/>
    <w:rsid w:val="00E46B34"/>
    <w:rsid w:val="00E46DCF"/>
    <w:rsid w:val="00E46E48"/>
    <w:rsid w:val="00E476A8"/>
    <w:rsid w:val="00E47F58"/>
    <w:rsid w:val="00E47F98"/>
    <w:rsid w:val="00E50937"/>
    <w:rsid w:val="00E50CA9"/>
    <w:rsid w:val="00E50E77"/>
    <w:rsid w:val="00E511BE"/>
    <w:rsid w:val="00E51599"/>
    <w:rsid w:val="00E51CB5"/>
    <w:rsid w:val="00E5291E"/>
    <w:rsid w:val="00E52EF0"/>
    <w:rsid w:val="00E533F5"/>
    <w:rsid w:val="00E53606"/>
    <w:rsid w:val="00E53C51"/>
    <w:rsid w:val="00E56819"/>
    <w:rsid w:val="00E571F6"/>
    <w:rsid w:val="00E572FD"/>
    <w:rsid w:val="00E57591"/>
    <w:rsid w:val="00E577A4"/>
    <w:rsid w:val="00E61A44"/>
    <w:rsid w:val="00E62CF1"/>
    <w:rsid w:val="00E62EFE"/>
    <w:rsid w:val="00E63A94"/>
    <w:rsid w:val="00E6409B"/>
    <w:rsid w:val="00E6476E"/>
    <w:rsid w:val="00E648F5"/>
    <w:rsid w:val="00E64B9C"/>
    <w:rsid w:val="00E65B51"/>
    <w:rsid w:val="00E66999"/>
    <w:rsid w:val="00E669FE"/>
    <w:rsid w:val="00E6789F"/>
    <w:rsid w:val="00E6794A"/>
    <w:rsid w:val="00E71B35"/>
    <w:rsid w:val="00E72883"/>
    <w:rsid w:val="00E7327B"/>
    <w:rsid w:val="00E73E73"/>
    <w:rsid w:val="00E74739"/>
    <w:rsid w:val="00E75296"/>
    <w:rsid w:val="00E75EFF"/>
    <w:rsid w:val="00E771C3"/>
    <w:rsid w:val="00E775D4"/>
    <w:rsid w:val="00E8151B"/>
    <w:rsid w:val="00E8161F"/>
    <w:rsid w:val="00E81B01"/>
    <w:rsid w:val="00E81F52"/>
    <w:rsid w:val="00E82DFD"/>
    <w:rsid w:val="00E83178"/>
    <w:rsid w:val="00E83602"/>
    <w:rsid w:val="00E83A5D"/>
    <w:rsid w:val="00E83F7D"/>
    <w:rsid w:val="00E8568B"/>
    <w:rsid w:val="00E85A75"/>
    <w:rsid w:val="00E86D99"/>
    <w:rsid w:val="00E87331"/>
    <w:rsid w:val="00E923D3"/>
    <w:rsid w:val="00E9264D"/>
    <w:rsid w:val="00E92CE1"/>
    <w:rsid w:val="00E93DBA"/>
    <w:rsid w:val="00E93E6B"/>
    <w:rsid w:val="00E9471C"/>
    <w:rsid w:val="00E94C46"/>
    <w:rsid w:val="00E94E82"/>
    <w:rsid w:val="00E9527E"/>
    <w:rsid w:val="00E96120"/>
    <w:rsid w:val="00E96957"/>
    <w:rsid w:val="00EA008B"/>
    <w:rsid w:val="00EA0377"/>
    <w:rsid w:val="00EA06CB"/>
    <w:rsid w:val="00EA0796"/>
    <w:rsid w:val="00EA0FD0"/>
    <w:rsid w:val="00EA25CB"/>
    <w:rsid w:val="00EA332C"/>
    <w:rsid w:val="00EA3B14"/>
    <w:rsid w:val="00EA4FDB"/>
    <w:rsid w:val="00EA54FB"/>
    <w:rsid w:val="00EA57F2"/>
    <w:rsid w:val="00EA6269"/>
    <w:rsid w:val="00EA6E91"/>
    <w:rsid w:val="00EA704B"/>
    <w:rsid w:val="00EA7C9D"/>
    <w:rsid w:val="00EB0247"/>
    <w:rsid w:val="00EB0468"/>
    <w:rsid w:val="00EB04DB"/>
    <w:rsid w:val="00EB1076"/>
    <w:rsid w:val="00EB1D6E"/>
    <w:rsid w:val="00EB1FC9"/>
    <w:rsid w:val="00EB4E7F"/>
    <w:rsid w:val="00EC0728"/>
    <w:rsid w:val="00EC0BAD"/>
    <w:rsid w:val="00EC320C"/>
    <w:rsid w:val="00EC435E"/>
    <w:rsid w:val="00EC632E"/>
    <w:rsid w:val="00EC713B"/>
    <w:rsid w:val="00EC72E7"/>
    <w:rsid w:val="00EC7F6B"/>
    <w:rsid w:val="00ED11C3"/>
    <w:rsid w:val="00ED1A89"/>
    <w:rsid w:val="00ED200F"/>
    <w:rsid w:val="00ED218A"/>
    <w:rsid w:val="00ED25FE"/>
    <w:rsid w:val="00ED26D8"/>
    <w:rsid w:val="00ED278D"/>
    <w:rsid w:val="00ED2F8C"/>
    <w:rsid w:val="00ED3F08"/>
    <w:rsid w:val="00ED454E"/>
    <w:rsid w:val="00ED4D91"/>
    <w:rsid w:val="00ED5A55"/>
    <w:rsid w:val="00ED6706"/>
    <w:rsid w:val="00ED6A67"/>
    <w:rsid w:val="00ED6F1B"/>
    <w:rsid w:val="00ED72C6"/>
    <w:rsid w:val="00ED7938"/>
    <w:rsid w:val="00EE0C7F"/>
    <w:rsid w:val="00EE0DD6"/>
    <w:rsid w:val="00EE19EC"/>
    <w:rsid w:val="00EE1A79"/>
    <w:rsid w:val="00EE4185"/>
    <w:rsid w:val="00EE4727"/>
    <w:rsid w:val="00EF023B"/>
    <w:rsid w:val="00EF082C"/>
    <w:rsid w:val="00EF12F1"/>
    <w:rsid w:val="00EF1C7F"/>
    <w:rsid w:val="00EF228D"/>
    <w:rsid w:val="00EF24EC"/>
    <w:rsid w:val="00EF315B"/>
    <w:rsid w:val="00EF3686"/>
    <w:rsid w:val="00EF3AE9"/>
    <w:rsid w:val="00EF449F"/>
    <w:rsid w:val="00EF6ED9"/>
    <w:rsid w:val="00EF75F6"/>
    <w:rsid w:val="00EF78CF"/>
    <w:rsid w:val="00EF7D64"/>
    <w:rsid w:val="00F004D1"/>
    <w:rsid w:val="00F00E1B"/>
    <w:rsid w:val="00F01467"/>
    <w:rsid w:val="00F016BA"/>
    <w:rsid w:val="00F026FA"/>
    <w:rsid w:val="00F030D7"/>
    <w:rsid w:val="00F040D2"/>
    <w:rsid w:val="00F04DF2"/>
    <w:rsid w:val="00F0548D"/>
    <w:rsid w:val="00F055FB"/>
    <w:rsid w:val="00F068E6"/>
    <w:rsid w:val="00F06F00"/>
    <w:rsid w:val="00F10CD1"/>
    <w:rsid w:val="00F1137C"/>
    <w:rsid w:val="00F12526"/>
    <w:rsid w:val="00F13CCA"/>
    <w:rsid w:val="00F14915"/>
    <w:rsid w:val="00F15112"/>
    <w:rsid w:val="00F1530C"/>
    <w:rsid w:val="00F15CD1"/>
    <w:rsid w:val="00F16374"/>
    <w:rsid w:val="00F16475"/>
    <w:rsid w:val="00F16EB6"/>
    <w:rsid w:val="00F202E9"/>
    <w:rsid w:val="00F222E8"/>
    <w:rsid w:val="00F22E10"/>
    <w:rsid w:val="00F27519"/>
    <w:rsid w:val="00F2785C"/>
    <w:rsid w:val="00F30920"/>
    <w:rsid w:val="00F30A86"/>
    <w:rsid w:val="00F30C61"/>
    <w:rsid w:val="00F315F7"/>
    <w:rsid w:val="00F32264"/>
    <w:rsid w:val="00F32B0D"/>
    <w:rsid w:val="00F33A9C"/>
    <w:rsid w:val="00F34ABE"/>
    <w:rsid w:val="00F34EFB"/>
    <w:rsid w:val="00F3522D"/>
    <w:rsid w:val="00F352FD"/>
    <w:rsid w:val="00F364BE"/>
    <w:rsid w:val="00F3782C"/>
    <w:rsid w:val="00F37E63"/>
    <w:rsid w:val="00F400B4"/>
    <w:rsid w:val="00F42034"/>
    <w:rsid w:val="00F42E4C"/>
    <w:rsid w:val="00F43843"/>
    <w:rsid w:val="00F43DBE"/>
    <w:rsid w:val="00F44517"/>
    <w:rsid w:val="00F457E0"/>
    <w:rsid w:val="00F47BC8"/>
    <w:rsid w:val="00F50477"/>
    <w:rsid w:val="00F50AF3"/>
    <w:rsid w:val="00F5142D"/>
    <w:rsid w:val="00F51D16"/>
    <w:rsid w:val="00F528FA"/>
    <w:rsid w:val="00F53A0C"/>
    <w:rsid w:val="00F54945"/>
    <w:rsid w:val="00F54C00"/>
    <w:rsid w:val="00F564A8"/>
    <w:rsid w:val="00F57C8F"/>
    <w:rsid w:val="00F60194"/>
    <w:rsid w:val="00F60DCF"/>
    <w:rsid w:val="00F614B1"/>
    <w:rsid w:val="00F616DC"/>
    <w:rsid w:val="00F61FEA"/>
    <w:rsid w:val="00F62484"/>
    <w:rsid w:val="00F67768"/>
    <w:rsid w:val="00F71B24"/>
    <w:rsid w:val="00F72E77"/>
    <w:rsid w:val="00F73138"/>
    <w:rsid w:val="00F73410"/>
    <w:rsid w:val="00F73CD7"/>
    <w:rsid w:val="00F74D3A"/>
    <w:rsid w:val="00F75181"/>
    <w:rsid w:val="00F76E2D"/>
    <w:rsid w:val="00F76E31"/>
    <w:rsid w:val="00F7791A"/>
    <w:rsid w:val="00F7794E"/>
    <w:rsid w:val="00F811F9"/>
    <w:rsid w:val="00F81768"/>
    <w:rsid w:val="00F83880"/>
    <w:rsid w:val="00F83BF2"/>
    <w:rsid w:val="00F85521"/>
    <w:rsid w:val="00F86198"/>
    <w:rsid w:val="00F908C5"/>
    <w:rsid w:val="00F90AB9"/>
    <w:rsid w:val="00F90F78"/>
    <w:rsid w:val="00F91808"/>
    <w:rsid w:val="00F92E7C"/>
    <w:rsid w:val="00F932F5"/>
    <w:rsid w:val="00F95042"/>
    <w:rsid w:val="00F9610D"/>
    <w:rsid w:val="00FA08DC"/>
    <w:rsid w:val="00FA32C7"/>
    <w:rsid w:val="00FA3BB7"/>
    <w:rsid w:val="00FA482D"/>
    <w:rsid w:val="00FA4D47"/>
    <w:rsid w:val="00FA4D5E"/>
    <w:rsid w:val="00FA4D8C"/>
    <w:rsid w:val="00FA5722"/>
    <w:rsid w:val="00FA6356"/>
    <w:rsid w:val="00FA74C7"/>
    <w:rsid w:val="00FA74D1"/>
    <w:rsid w:val="00FB070D"/>
    <w:rsid w:val="00FB085D"/>
    <w:rsid w:val="00FB1C7F"/>
    <w:rsid w:val="00FB271D"/>
    <w:rsid w:val="00FB3153"/>
    <w:rsid w:val="00FB4046"/>
    <w:rsid w:val="00FB5B5F"/>
    <w:rsid w:val="00FB5BA7"/>
    <w:rsid w:val="00FB5C20"/>
    <w:rsid w:val="00FB676A"/>
    <w:rsid w:val="00FB6A4B"/>
    <w:rsid w:val="00FB7D2E"/>
    <w:rsid w:val="00FC0AA2"/>
    <w:rsid w:val="00FC1352"/>
    <w:rsid w:val="00FC1620"/>
    <w:rsid w:val="00FC5616"/>
    <w:rsid w:val="00FC5D86"/>
    <w:rsid w:val="00FD2E17"/>
    <w:rsid w:val="00FD50DD"/>
    <w:rsid w:val="00FD55C0"/>
    <w:rsid w:val="00FD58C6"/>
    <w:rsid w:val="00FD5D50"/>
    <w:rsid w:val="00FD62C6"/>
    <w:rsid w:val="00FD6A26"/>
    <w:rsid w:val="00FD7F5C"/>
    <w:rsid w:val="00FE0EC0"/>
    <w:rsid w:val="00FE1865"/>
    <w:rsid w:val="00FE2C29"/>
    <w:rsid w:val="00FE55E5"/>
    <w:rsid w:val="00FE5774"/>
    <w:rsid w:val="00FE6097"/>
    <w:rsid w:val="00FE7EE8"/>
    <w:rsid w:val="00FF0205"/>
    <w:rsid w:val="00FF1F1A"/>
    <w:rsid w:val="00FF208D"/>
    <w:rsid w:val="00FF3B4C"/>
    <w:rsid w:val="00FF4C22"/>
    <w:rsid w:val="00FF51B8"/>
    <w:rsid w:val="00FF5799"/>
    <w:rsid w:val="00FF64EF"/>
    <w:rsid w:val="00FF65FB"/>
    <w:rsid w:val="00FF6EA9"/>
    <w:rsid w:val="00FF769D"/>
    <w:rsid w:val="00FF7759"/>
    <w:rsid w:val="00FF7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402"/>
    <w:rPr>
      <w:sz w:val="24"/>
      <w:szCs w:val="24"/>
    </w:rPr>
  </w:style>
  <w:style w:type="paragraph" w:styleId="Heading1">
    <w:name w:val="heading 1"/>
    <w:basedOn w:val="Normal"/>
    <w:next w:val="Normal"/>
    <w:link w:val="Heading1Char"/>
    <w:uiPriority w:val="99"/>
    <w:qFormat/>
    <w:rsid w:val="00E25402"/>
    <w:pPr>
      <w:keepNext/>
      <w:jc w:val="both"/>
      <w:outlineLvl w:val="0"/>
    </w:pPr>
    <w:rPr>
      <w:b/>
      <w:bCs/>
      <w:sz w:val="26"/>
      <w:szCs w:val="26"/>
    </w:rPr>
  </w:style>
  <w:style w:type="paragraph" w:styleId="Heading2">
    <w:name w:val="heading 2"/>
    <w:basedOn w:val="Normal"/>
    <w:next w:val="Normal"/>
    <w:link w:val="Heading2Char"/>
    <w:uiPriority w:val="99"/>
    <w:qFormat/>
    <w:rsid w:val="00E25402"/>
    <w:pPr>
      <w:keepNext/>
      <w:jc w:val="both"/>
      <w:outlineLvl w:val="1"/>
    </w:pPr>
    <w:rPr>
      <w:b/>
      <w:bCs/>
      <w:sz w:val="26"/>
      <w:szCs w:val="26"/>
      <w:u w:val="single"/>
    </w:rPr>
  </w:style>
  <w:style w:type="paragraph" w:styleId="Heading3">
    <w:name w:val="heading 3"/>
    <w:basedOn w:val="Normal"/>
    <w:next w:val="Normal"/>
    <w:link w:val="Heading3Char"/>
    <w:uiPriority w:val="99"/>
    <w:qFormat/>
    <w:rsid w:val="00E25402"/>
    <w:pPr>
      <w:keepNext/>
      <w:autoSpaceDE w:val="0"/>
      <w:autoSpaceDN w:val="0"/>
      <w:outlineLvl w:val="2"/>
    </w:pPr>
    <w:rPr>
      <w:rFonts w:ascii="VNtimes new roman" w:hAnsi="VNtimes new roman" w:cs="VNtimes new roman"/>
      <w:sz w:val="26"/>
      <w:szCs w:val="26"/>
    </w:rPr>
  </w:style>
  <w:style w:type="paragraph" w:styleId="Heading5">
    <w:name w:val="heading 5"/>
    <w:basedOn w:val="Normal"/>
    <w:next w:val="Normal"/>
    <w:link w:val="Heading5Char"/>
    <w:uiPriority w:val="99"/>
    <w:qFormat/>
    <w:rsid w:val="00E25402"/>
    <w:pPr>
      <w:keepNext/>
      <w:jc w:val="center"/>
      <w:outlineLvl w:val="4"/>
    </w:pPr>
    <w:rPr>
      <w:b/>
      <w:bCs/>
      <w:sz w:val="26"/>
      <w:szCs w:val="26"/>
    </w:rPr>
  </w:style>
  <w:style w:type="paragraph" w:styleId="Heading6">
    <w:name w:val="heading 6"/>
    <w:basedOn w:val="Normal"/>
    <w:next w:val="Normal"/>
    <w:link w:val="Heading6Char"/>
    <w:uiPriority w:val="99"/>
    <w:qFormat/>
    <w:rsid w:val="00E25402"/>
    <w:pPr>
      <w:keepNext/>
      <w:spacing w:before="120" w:after="120"/>
      <w:jc w:val="center"/>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7B3"/>
    <w:rPr>
      <w:b/>
      <w:bCs/>
      <w:sz w:val="24"/>
      <w:szCs w:val="24"/>
    </w:rPr>
  </w:style>
  <w:style w:type="character" w:customStyle="1" w:styleId="Heading2Char">
    <w:name w:val="Heading 2 Char"/>
    <w:basedOn w:val="DefaultParagraphFont"/>
    <w:link w:val="Heading2"/>
    <w:uiPriority w:val="99"/>
    <w:locked/>
    <w:rsid w:val="00546CFB"/>
    <w:rPr>
      <w:b/>
      <w:bCs/>
      <w:sz w:val="24"/>
      <w:szCs w:val="24"/>
      <w:u w:val="single"/>
    </w:rPr>
  </w:style>
  <w:style w:type="character" w:customStyle="1" w:styleId="Heading3Char">
    <w:name w:val="Heading 3 Char"/>
    <w:basedOn w:val="DefaultParagraphFont"/>
    <w:link w:val="Heading3"/>
    <w:uiPriority w:val="9"/>
    <w:semiHidden/>
    <w:rsid w:val="00811EA1"/>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semiHidden/>
    <w:rsid w:val="00811EA1"/>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11EA1"/>
    <w:rPr>
      <w:rFonts w:asciiTheme="minorHAnsi" w:eastAsiaTheme="minorEastAsia" w:hAnsiTheme="minorHAnsi" w:cstheme="minorBidi"/>
      <w:b/>
      <w:bCs/>
    </w:rPr>
  </w:style>
  <w:style w:type="paragraph" w:styleId="BodyText">
    <w:name w:val="Body Text"/>
    <w:basedOn w:val="Normal"/>
    <w:link w:val="BodyTextChar"/>
    <w:uiPriority w:val="99"/>
    <w:rsid w:val="00E25402"/>
    <w:pPr>
      <w:jc w:val="both"/>
    </w:pPr>
    <w:rPr>
      <w:sz w:val="26"/>
      <w:szCs w:val="26"/>
    </w:rPr>
  </w:style>
  <w:style w:type="character" w:customStyle="1" w:styleId="BodyTextChar">
    <w:name w:val="Body Text Char"/>
    <w:basedOn w:val="DefaultParagraphFont"/>
    <w:link w:val="BodyText"/>
    <w:uiPriority w:val="99"/>
    <w:locked/>
    <w:rsid w:val="0099362D"/>
    <w:rPr>
      <w:sz w:val="24"/>
      <w:szCs w:val="24"/>
      <w:lang w:val="en-US" w:eastAsia="en-US"/>
    </w:rPr>
  </w:style>
  <w:style w:type="paragraph" w:styleId="NormalWeb">
    <w:name w:val="Normal (Web)"/>
    <w:aliases w:val="Char Char Char"/>
    <w:basedOn w:val="Normal"/>
    <w:uiPriority w:val="99"/>
    <w:rsid w:val="00E25402"/>
    <w:pPr>
      <w:spacing w:before="100" w:beforeAutospacing="1" w:after="100" w:afterAutospacing="1"/>
    </w:pPr>
    <w:rPr>
      <w:rFonts w:ascii="Arial Unicode MS" w:hAnsi="Arial Unicode MS" w:cs="Arial Unicode MS"/>
      <w:color w:val="000000"/>
    </w:rPr>
  </w:style>
  <w:style w:type="paragraph" w:styleId="BodyTextIndent">
    <w:name w:val="Body Text Indent"/>
    <w:basedOn w:val="Normal"/>
    <w:link w:val="BodyTextIndentChar"/>
    <w:uiPriority w:val="99"/>
    <w:rsid w:val="00E25402"/>
    <w:pPr>
      <w:ind w:firstLine="720"/>
      <w:jc w:val="both"/>
    </w:pPr>
    <w:rPr>
      <w:color w:val="FF0000"/>
      <w:sz w:val="26"/>
      <w:szCs w:val="26"/>
    </w:rPr>
  </w:style>
  <w:style w:type="character" w:customStyle="1" w:styleId="BodyTextIndentChar">
    <w:name w:val="Body Text Indent Char"/>
    <w:basedOn w:val="DefaultParagraphFont"/>
    <w:link w:val="BodyTextIndent"/>
    <w:uiPriority w:val="99"/>
    <w:semiHidden/>
    <w:rsid w:val="00811EA1"/>
    <w:rPr>
      <w:sz w:val="24"/>
      <w:szCs w:val="24"/>
    </w:rPr>
  </w:style>
  <w:style w:type="paragraph" w:styleId="BodyTextIndent3">
    <w:name w:val="Body Text Indent 3"/>
    <w:basedOn w:val="Normal"/>
    <w:link w:val="BodyTextIndent3Char"/>
    <w:uiPriority w:val="99"/>
    <w:rsid w:val="00E25402"/>
    <w:pPr>
      <w:spacing w:before="120" w:after="120"/>
      <w:ind w:firstLine="720"/>
      <w:jc w:val="both"/>
    </w:pPr>
    <w:rPr>
      <w:sz w:val="26"/>
      <w:szCs w:val="26"/>
    </w:rPr>
  </w:style>
  <w:style w:type="character" w:customStyle="1" w:styleId="BodyTextIndent3Char">
    <w:name w:val="Body Text Indent 3 Char"/>
    <w:basedOn w:val="DefaultParagraphFont"/>
    <w:link w:val="BodyTextIndent3"/>
    <w:uiPriority w:val="99"/>
    <w:semiHidden/>
    <w:rsid w:val="00811EA1"/>
    <w:rPr>
      <w:sz w:val="16"/>
      <w:szCs w:val="16"/>
    </w:rPr>
  </w:style>
  <w:style w:type="paragraph" w:styleId="BodyTextIndent2">
    <w:name w:val="Body Text Indent 2"/>
    <w:basedOn w:val="Normal"/>
    <w:link w:val="BodyTextIndent2Char"/>
    <w:uiPriority w:val="99"/>
    <w:rsid w:val="00E25402"/>
    <w:pPr>
      <w:autoSpaceDE w:val="0"/>
      <w:autoSpaceDN w:val="0"/>
      <w:ind w:firstLine="720"/>
      <w:jc w:val="both"/>
    </w:pPr>
    <w:rPr>
      <w:rFonts w:ascii="VNtimes new roman" w:hAnsi="VNtimes new roman" w:cs="VNtimes new roman"/>
      <w:color w:val="0000FF"/>
      <w:sz w:val="28"/>
      <w:szCs w:val="28"/>
    </w:rPr>
  </w:style>
  <w:style w:type="character" w:customStyle="1" w:styleId="BodyTextIndent2Char">
    <w:name w:val="Body Text Indent 2 Char"/>
    <w:basedOn w:val="DefaultParagraphFont"/>
    <w:link w:val="BodyTextIndent2"/>
    <w:uiPriority w:val="99"/>
    <w:semiHidden/>
    <w:rsid w:val="00811EA1"/>
    <w:rPr>
      <w:sz w:val="24"/>
      <w:szCs w:val="24"/>
    </w:rPr>
  </w:style>
  <w:style w:type="character" w:styleId="PageNumber">
    <w:name w:val="page number"/>
    <w:basedOn w:val="DefaultParagraphFont"/>
    <w:uiPriority w:val="99"/>
    <w:rsid w:val="00E25402"/>
  </w:style>
  <w:style w:type="paragraph" w:styleId="Footer">
    <w:name w:val="footer"/>
    <w:basedOn w:val="Normal"/>
    <w:link w:val="FooterChar"/>
    <w:uiPriority w:val="99"/>
    <w:rsid w:val="00E25402"/>
    <w:pPr>
      <w:tabs>
        <w:tab w:val="center" w:pos="4320"/>
        <w:tab w:val="right" w:pos="8640"/>
      </w:tabs>
    </w:pPr>
  </w:style>
  <w:style w:type="character" w:customStyle="1" w:styleId="FooterChar">
    <w:name w:val="Footer Char"/>
    <w:basedOn w:val="DefaultParagraphFont"/>
    <w:link w:val="Footer"/>
    <w:uiPriority w:val="99"/>
    <w:semiHidden/>
    <w:rsid w:val="00811EA1"/>
    <w:rPr>
      <w:sz w:val="24"/>
      <w:szCs w:val="24"/>
    </w:rPr>
  </w:style>
  <w:style w:type="paragraph" w:styleId="BalloonText">
    <w:name w:val="Balloon Text"/>
    <w:basedOn w:val="Normal"/>
    <w:link w:val="BalloonTextChar"/>
    <w:uiPriority w:val="99"/>
    <w:semiHidden/>
    <w:rsid w:val="000D2C30"/>
    <w:rPr>
      <w:rFonts w:ascii="Tahoma" w:hAnsi="Tahoma" w:cs="Tahoma"/>
      <w:sz w:val="16"/>
      <w:szCs w:val="16"/>
    </w:rPr>
  </w:style>
  <w:style w:type="character" w:customStyle="1" w:styleId="BalloonTextChar">
    <w:name w:val="Balloon Text Char"/>
    <w:basedOn w:val="DefaultParagraphFont"/>
    <w:link w:val="BalloonText"/>
    <w:uiPriority w:val="99"/>
    <w:semiHidden/>
    <w:rsid w:val="00811EA1"/>
    <w:rPr>
      <w:sz w:val="0"/>
      <w:szCs w:val="0"/>
    </w:rPr>
  </w:style>
  <w:style w:type="table" w:styleId="TableGrid">
    <w:name w:val="Table Grid"/>
    <w:basedOn w:val="TableNormal"/>
    <w:uiPriority w:val="99"/>
    <w:rsid w:val="00737F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D97EF5"/>
  </w:style>
  <w:style w:type="character" w:customStyle="1" w:styleId="dn0abevr35">
    <w:name w:val="dn0abevr35"/>
    <w:basedOn w:val="DefaultParagraphFont"/>
    <w:uiPriority w:val="99"/>
    <w:rsid w:val="00C648B5"/>
  </w:style>
  <w:style w:type="paragraph" w:customStyle="1" w:styleId="CharCharCharChar">
    <w:name w:val="Char Char Char Char"/>
    <w:basedOn w:val="Normal"/>
    <w:uiPriority w:val="99"/>
    <w:semiHidden/>
    <w:rsid w:val="0014388C"/>
    <w:pPr>
      <w:spacing w:after="160" w:line="240" w:lineRule="exact"/>
    </w:pPr>
    <w:rPr>
      <w:rFonts w:ascii="Arial" w:hAnsi="Arial" w:cs="Arial"/>
      <w:sz w:val="22"/>
      <w:szCs w:val="22"/>
    </w:rPr>
  </w:style>
  <w:style w:type="paragraph" w:customStyle="1" w:styleId="DefaultParagraphFontParaCharCharCharCharChar">
    <w:name w:val="Default Paragraph Font Para Char Char Char Char Char"/>
    <w:autoRedefine/>
    <w:uiPriority w:val="99"/>
    <w:rsid w:val="00803491"/>
    <w:pPr>
      <w:tabs>
        <w:tab w:val="left" w:pos="1152"/>
      </w:tabs>
      <w:spacing w:before="120" w:after="120" w:line="312" w:lineRule="auto"/>
    </w:pPr>
    <w:rPr>
      <w:rFonts w:ascii="Arial" w:hAnsi="Arial" w:cs="Arial"/>
      <w:sz w:val="26"/>
      <w:szCs w:val="26"/>
    </w:rPr>
  </w:style>
  <w:style w:type="character" w:styleId="Strong">
    <w:name w:val="Strong"/>
    <w:basedOn w:val="DefaultParagraphFont"/>
    <w:uiPriority w:val="99"/>
    <w:qFormat/>
    <w:rsid w:val="002C3BB0"/>
    <w:rPr>
      <w:b/>
      <w:bCs/>
    </w:rPr>
  </w:style>
  <w:style w:type="character" w:customStyle="1" w:styleId="style2">
    <w:name w:val="style2"/>
    <w:basedOn w:val="DefaultParagraphFont"/>
    <w:uiPriority w:val="99"/>
    <w:rsid w:val="002954A4"/>
  </w:style>
  <w:style w:type="character" w:customStyle="1" w:styleId="style3">
    <w:name w:val="style3"/>
    <w:basedOn w:val="DefaultParagraphFont"/>
    <w:uiPriority w:val="99"/>
    <w:rsid w:val="002954A4"/>
  </w:style>
  <w:style w:type="character" w:styleId="Emphasis">
    <w:name w:val="Emphasis"/>
    <w:basedOn w:val="DefaultParagraphFont"/>
    <w:uiPriority w:val="99"/>
    <w:qFormat/>
    <w:rsid w:val="000337B6"/>
    <w:rPr>
      <w:i/>
      <w:iCs/>
    </w:rPr>
  </w:style>
  <w:style w:type="character" w:customStyle="1" w:styleId="CharChar1">
    <w:name w:val="Char Char1"/>
    <w:uiPriority w:val="99"/>
    <w:rsid w:val="00180E25"/>
    <w:rPr>
      <w:sz w:val="24"/>
      <w:szCs w:val="24"/>
      <w:lang w:val="en-US" w:eastAsia="en-US"/>
    </w:rPr>
  </w:style>
  <w:style w:type="character" w:customStyle="1" w:styleId="CharChar2">
    <w:name w:val="Char Char2"/>
    <w:basedOn w:val="DefaultParagraphFont"/>
    <w:uiPriority w:val="99"/>
    <w:locked/>
    <w:rsid w:val="00E46B34"/>
    <w:rPr>
      <w:sz w:val="24"/>
      <w:szCs w:val="24"/>
      <w:lang w:val="en-US" w:eastAsia="en-US"/>
    </w:rPr>
  </w:style>
  <w:style w:type="paragraph" w:styleId="NoSpacing">
    <w:name w:val="No Spacing"/>
    <w:uiPriority w:val="99"/>
    <w:qFormat/>
    <w:rsid w:val="00005ADA"/>
    <w:rPr>
      <w:sz w:val="24"/>
      <w:szCs w:val="24"/>
    </w:rPr>
  </w:style>
  <w:style w:type="paragraph" w:styleId="ListParagraph">
    <w:name w:val="List Paragraph"/>
    <w:basedOn w:val="Normal"/>
    <w:uiPriority w:val="99"/>
    <w:qFormat/>
    <w:rsid w:val="00EB04DB"/>
    <w:pPr>
      <w:spacing w:after="200" w:line="276" w:lineRule="auto"/>
      <w:ind w:left="720"/>
    </w:pPr>
    <w:rPr>
      <w:rFonts w:ascii="Calibri" w:hAnsi="Calibri" w:cs="Calibri"/>
      <w:sz w:val="22"/>
      <w:szCs w:val="22"/>
    </w:rPr>
  </w:style>
  <w:style w:type="paragraph" w:styleId="Header">
    <w:name w:val="header"/>
    <w:basedOn w:val="Normal"/>
    <w:link w:val="HeaderChar"/>
    <w:uiPriority w:val="99"/>
    <w:rsid w:val="00CB0C8A"/>
    <w:pPr>
      <w:tabs>
        <w:tab w:val="center" w:pos="4680"/>
        <w:tab w:val="right" w:pos="9360"/>
      </w:tabs>
    </w:pPr>
  </w:style>
  <w:style w:type="character" w:customStyle="1" w:styleId="HeaderChar">
    <w:name w:val="Header Char"/>
    <w:basedOn w:val="DefaultParagraphFont"/>
    <w:link w:val="Header"/>
    <w:uiPriority w:val="99"/>
    <w:locked/>
    <w:rsid w:val="00CB0C8A"/>
    <w:rPr>
      <w:sz w:val="24"/>
      <w:szCs w:val="24"/>
    </w:rPr>
  </w:style>
</w:styles>
</file>

<file path=word/webSettings.xml><?xml version="1.0" encoding="utf-8"?>
<w:webSettings xmlns:r="http://schemas.openxmlformats.org/officeDocument/2006/relationships" xmlns:w="http://schemas.openxmlformats.org/wordprocessingml/2006/main">
  <w:divs>
    <w:div w:id="989941215">
      <w:marLeft w:val="0"/>
      <w:marRight w:val="0"/>
      <w:marTop w:val="0"/>
      <w:marBottom w:val="0"/>
      <w:divBdr>
        <w:top w:val="none" w:sz="0" w:space="0" w:color="auto"/>
        <w:left w:val="none" w:sz="0" w:space="0" w:color="auto"/>
        <w:bottom w:val="none" w:sz="0" w:space="0" w:color="auto"/>
        <w:right w:val="none" w:sz="0" w:space="0" w:color="auto"/>
      </w:divBdr>
    </w:div>
    <w:div w:id="989941216">
      <w:marLeft w:val="0"/>
      <w:marRight w:val="0"/>
      <w:marTop w:val="0"/>
      <w:marBottom w:val="0"/>
      <w:divBdr>
        <w:top w:val="none" w:sz="0" w:space="0" w:color="auto"/>
        <w:left w:val="none" w:sz="0" w:space="0" w:color="auto"/>
        <w:bottom w:val="none" w:sz="0" w:space="0" w:color="auto"/>
        <w:right w:val="none" w:sz="0" w:space="0" w:color="auto"/>
      </w:divBdr>
    </w:div>
    <w:div w:id="989941217">
      <w:marLeft w:val="0"/>
      <w:marRight w:val="0"/>
      <w:marTop w:val="0"/>
      <w:marBottom w:val="0"/>
      <w:divBdr>
        <w:top w:val="none" w:sz="0" w:space="0" w:color="auto"/>
        <w:left w:val="none" w:sz="0" w:space="0" w:color="auto"/>
        <w:bottom w:val="none" w:sz="0" w:space="0" w:color="auto"/>
        <w:right w:val="none" w:sz="0" w:space="0" w:color="auto"/>
      </w:divBdr>
    </w:div>
    <w:div w:id="989941218">
      <w:marLeft w:val="0"/>
      <w:marRight w:val="0"/>
      <w:marTop w:val="0"/>
      <w:marBottom w:val="0"/>
      <w:divBdr>
        <w:top w:val="none" w:sz="0" w:space="0" w:color="auto"/>
        <w:left w:val="none" w:sz="0" w:space="0" w:color="auto"/>
        <w:bottom w:val="none" w:sz="0" w:space="0" w:color="auto"/>
        <w:right w:val="none" w:sz="0" w:space="0" w:color="auto"/>
      </w:divBdr>
    </w:div>
    <w:div w:id="989941219">
      <w:marLeft w:val="0"/>
      <w:marRight w:val="0"/>
      <w:marTop w:val="0"/>
      <w:marBottom w:val="0"/>
      <w:divBdr>
        <w:top w:val="none" w:sz="0" w:space="0" w:color="auto"/>
        <w:left w:val="none" w:sz="0" w:space="0" w:color="auto"/>
        <w:bottom w:val="none" w:sz="0" w:space="0" w:color="auto"/>
        <w:right w:val="none" w:sz="0" w:space="0" w:color="auto"/>
      </w:divBdr>
    </w:div>
    <w:div w:id="989941220">
      <w:marLeft w:val="0"/>
      <w:marRight w:val="0"/>
      <w:marTop w:val="0"/>
      <w:marBottom w:val="0"/>
      <w:divBdr>
        <w:top w:val="none" w:sz="0" w:space="0" w:color="auto"/>
        <w:left w:val="none" w:sz="0" w:space="0" w:color="auto"/>
        <w:bottom w:val="none" w:sz="0" w:space="0" w:color="auto"/>
        <w:right w:val="none" w:sz="0" w:space="0" w:color="auto"/>
      </w:divBdr>
    </w:div>
    <w:div w:id="989941221">
      <w:marLeft w:val="0"/>
      <w:marRight w:val="0"/>
      <w:marTop w:val="0"/>
      <w:marBottom w:val="0"/>
      <w:divBdr>
        <w:top w:val="none" w:sz="0" w:space="0" w:color="auto"/>
        <w:left w:val="none" w:sz="0" w:space="0" w:color="auto"/>
        <w:bottom w:val="none" w:sz="0" w:space="0" w:color="auto"/>
        <w:right w:val="none" w:sz="0" w:space="0" w:color="auto"/>
      </w:divBdr>
    </w:div>
    <w:div w:id="989941222">
      <w:marLeft w:val="0"/>
      <w:marRight w:val="0"/>
      <w:marTop w:val="0"/>
      <w:marBottom w:val="0"/>
      <w:divBdr>
        <w:top w:val="none" w:sz="0" w:space="0" w:color="auto"/>
        <w:left w:val="none" w:sz="0" w:space="0" w:color="auto"/>
        <w:bottom w:val="none" w:sz="0" w:space="0" w:color="auto"/>
        <w:right w:val="none" w:sz="0" w:space="0" w:color="auto"/>
      </w:divBdr>
    </w:div>
    <w:div w:id="989941223">
      <w:marLeft w:val="0"/>
      <w:marRight w:val="0"/>
      <w:marTop w:val="0"/>
      <w:marBottom w:val="0"/>
      <w:divBdr>
        <w:top w:val="none" w:sz="0" w:space="0" w:color="auto"/>
        <w:left w:val="none" w:sz="0" w:space="0" w:color="auto"/>
        <w:bottom w:val="none" w:sz="0" w:space="0" w:color="auto"/>
        <w:right w:val="none" w:sz="0" w:space="0" w:color="auto"/>
      </w:divBdr>
    </w:div>
    <w:div w:id="989941224">
      <w:marLeft w:val="0"/>
      <w:marRight w:val="0"/>
      <w:marTop w:val="0"/>
      <w:marBottom w:val="0"/>
      <w:divBdr>
        <w:top w:val="none" w:sz="0" w:space="0" w:color="auto"/>
        <w:left w:val="none" w:sz="0" w:space="0" w:color="auto"/>
        <w:bottom w:val="none" w:sz="0" w:space="0" w:color="auto"/>
        <w:right w:val="none" w:sz="0" w:space="0" w:color="auto"/>
      </w:divBdr>
    </w:div>
    <w:div w:id="989941225">
      <w:marLeft w:val="0"/>
      <w:marRight w:val="0"/>
      <w:marTop w:val="0"/>
      <w:marBottom w:val="0"/>
      <w:divBdr>
        <w:top w:val="none" w:sz="0" w:space="0" w:color="auto"/>
        <w:left w:val="none" w:sz="0" w:space="0" w:color="auto"/>
        <w:bottom w:val="none" w:sz="0" w:space="0" w:color="auto"/>
        <w:right w:val="none" w:sz="0" w:space="0" w:color="auto"/>
      </w:divBdr>
    </w:div>
    <w:div w:id="989941226">
      <w:marLeft w:val="0"/>
      <w:marRight w:val="0"/>
      <w:marTop w:val="0"/>
      <w:marBottom w:val="0"/>
      <w:divBdr>
        <w:top w:val="none" w:sz="0" w:space="0" w:color="auto"/>
        <w:left w:val="none" w:sz="0" w:space="0" w:color="auto"/>
        <w:bottom w:val="none" w:sz="0" w:space="0" w:color="auto"/>
        <w:right w:val="none" w:sz="0" w:space="0" w:color="auto"/>
      </w:divBdr>
    </w:div>
    <w:div w:id="989941227">
      <w:marLeft w:val="0"/>
      <w:marRight w:val="0"/>
      <w:marTop w:val="0"/>
      <w:marBottom w:val="0"/>
      <w:divBdr>
        <w:top w:val="none" w:sz="0" w:space="0" w:color="auto"/>
        <w:left w:val="none" w:sz="0" w:space="0" w:color="auto"/>
        <w:bottom w:val="none" w:sz="0" w:space="0" w:color="auto"/>
        <w:right w:val="none" w:sz="0" w:space="0" w:color="auto"/>
      </w:divBdr>
    </w:div>
    <w:div w:id="989941228">
      <w:marLeft w:val="0"/>
      <w:marRight w:val="0"/>
      <w:marTop w:val="0"/>
      <w:marBottom w:val="0"/>
      <w:divBdr>
        <w:top w:val="none" w:sz="0" w:space="0" w:color="auto"/>
        <w:left w:val="none" w:sz="0" w:space="0" w:color="auto"/>
        <w:bottom w:val="none" w:sz="0" w:space="0" w:color="auto"/>
        <w:right w:val="none" w:sz="0" w:space="0" w:color="auto"/>
      </w:divBdr>
    </w:div>
    <w:div w:id="989941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199" b="1" i="0" u="none" strike="noStrike" baseline="0">
                <a:solidFill>
                  <a:srgbClr val="000000"/>
                </a:solidFill>
                <a:latin typeface="Times New Roman"/>
                <a:ea typeface="Times New Roman"/>
                <a:cs typeface="Times New Roman"/>
              </a:defRPr>
            </a:pPr>
            <a:r>
              <a:rPr lang="en-US"/>
              <a:t>GIÁ MUA CÀ PHÊ NHÂN XÔ BÌNH QUÂN TRÊN ĐỊA BÀN 
TỈNH ĐẮK LẮK</a:t>
            </a:r>
          </a:p>
        </c:rich>
      </c:tx>
      <c:layout>
        <c:manualLayout>
          <c:xMode val="edge"/>
          <c:yMode val="edge"/>
          <c:x val="0.14427861223229457"/>
          <c:y val="1.9480641842846574E-2"/>
        </c:manualLayout>
      </c:layout>
      <c:spPr>
        <a:noFill/>
        <a:ln w="25410">
          <a:noFill/>
        </a:ln>
      </c:spPr>
    </c:title>
    <c:plotArea>
      <c:layout>
        <c:manualLayout>
          <c:layoutTarget val="inner"/>
          <c:xMode val="edge"/>
          <c:yMode val="edge"/>
          <c:x val="0.12935323383084579"/>
          <c:y val="0.20454545454545536"/>
          <c:w val="0.84079601990049924"/>
          <c:h val="0.60064935064935365"/>
        </c:manualLayout>
      </c:layout>
      <c:lineChart>
        <c:grouping val="standard"/>
        <c:ser>
          <c:idx val="0"/>
          <c:order val="0"/>
          <c:tx>
            <c:strRef>
              <c:f>Sheet1!$A$2</c:f>
              <c:strCache>
                <c:ptCount val="1"/>
                <c:pt idx="0">
                  <c:v>Niên vụ 2017-2018</c:v>
                </c:pt>
              </c:strCache>
            </c:strRef>
          </c:tx>
          <c:spPr>
            <a:ln w="25399">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1.3783636705444972E-2"/>
                  <c:y val="-3.9794399042250295E-2"/>
                </c:manualLayout>
              </c:layout>
              <c:dLblPos val="r"/>
              <c:showVal val="1"/>
            </c:dLbl>
            <c:dLbl>
              <c:idx val="1"/>
              <c:layout>
                <c:manualLayout>
                  <c:x val="-2.5807017178408376E-2"/>
                  <c:y val="-4.0993095214940524E-2"/>
                </c:manualLayout>
              </c:layout>
              <c:dLblPos val="r"/>
              <c:showVal val="1"/>
            </c:dLbl>
            <c:dLbl>
              <c:idx val="2"/>
              <c:layout>
                <c:manualLayout>
                  <c:x val="-3.0101211709047407E-2"/>
                  <c:y val="-8.0091871910582618E-2"/>
                </c:manualLayout>
              </c:layout>
              <c:dLblPos val="r"/>
              <c:showVal val="1"/>
            </c:dLbl>
            <c:dLbl>
              <c:idx val="3"/>
              <c:layout>
                <c:manualLayout>
                  <c:x val="-3.2139168922715872E-2"/>
                  <c:y val="-6.4099244219608206E-2"/>
                </c:manualLayout>
              </c:layout>
              <c:dLblPos val="r"/>
              <c:showVal val="1"/>
            </c:dLbl>
            <c:dLbl>
              <c:idx val="4"/>
              <c:layout>
                <c:manualLayout>
                  <c:x val="-3.3667463123692294E-2"/>
                  <c:y val="-6.6758128015219478E-2"/>
                </c:manualLayout>
              </c:layout>
              <c:dLblPos val="r"/>
              <c:showVal val="1"/>
            </c:dLbl>
            <c:dLbl>
              <c:idx val="5"/>
              <c:layout>
                <c:manualLayout>
                  <c:x val="-3.5757162299157055E-2"/>
                  <c:y val="-5.5956928091643578E-2"/>
                </c:manualLayout>
              </c:layout>
              <c:dLblPos val="r"/>
              <c:showVal val="1"/>
            </c:dLbl>
            <c:dLbl>
              <c:idx val="6"/>
              <c:layout>
                <c:manualLayout>
                  <c:x val="-3.4513253583405235E-2"/>
                  <c:y val="-6.6979237927621449E-2"/>
                </c:manualLayout>
              </c:layout>
              <c:dLblPos val="r"/>
              <c:showVal val="1"/>
            </c:dLbl>
            <c:dLbl>
              <c:idx val="7"/>
              <c:layout>
                <c:manualLayout>
                  <c:x val="-3.3796181696427403E-2"/>
                  <c:y val="-8.0532236786456879E-2"/>
                </c:manualLayout>
              </c:layout>
              <c:dLblPos val="r"/>
              <c:showVal val="1"/>
            </c:dLbl>
            <c:dLbl>
              <c:idx val="8"/>
              <c:layout>
                <c:manualLayout>
                  <c:x val="-3.865920677825721E-2"/>
                  <c:y val="-7.8212032904201811E-2"/>
                </c:manualLayout>
              </c:layout>
              <c:dLblPos val="r"/>
              <c:showVal val="1"/>
            </c:dLbl>
            <c:dLbl>
              <c:idx val="9"/>
              <c:layout>
                <c:manualLayout>
                  <c:x val="-3.3572365954255778E-2"/>
                  <c:y val="-7.5117622795515884E-2"/>
                </c:manualLayout>
              </c:layout>
              <c:dLblPos val="r"/>
              <c:showVal val="1"/>
            </c:dLbl>
            <c:dLbl>
              <c:idx val="10"/>
              <c:layout>
                <c:manualLayout>
                  <c:x val="-2.2919896573497699E-2"/>
                  <c:y val="-8.1598090441374047E-2"/>
                </c:manualLayout>
              </c:layout>
              <c:dLblPos val="r"/>
              <c:showVal val="1"/>
            </c:dLbl>
            <c:dLbl>
              <c:idx val="11"/>
              <c:layout>
                <c:manualLayout>
                  <c:x val="-1.718940130229844E-2"/>
                  <c:y val="7.9011549654014954E-2"/>
                </c:manualLayout>
              </c:layout>
              <c:dLblPos val="r"/>
              <c:showVal val="1"/>
            </c:dLbl>
            <c:spPr>
              <a:noFill/>
              <a:ln w="25410">
                <a:noFill/>
              </a:ln>
            </c:spPr>
            <c:txPr>
              <a:bodyPr/>
              <a:lstStyle/>
              <a:p>
                <a:pPr>
                  <a:defRPr sz="800" b="0" i="0" u="none" strike="noStrike" baseline="0">
                    <a:solidFill>
                      <a:srgbClr val="000000"/>
                    </a:solidFill>
                    <a:latin typeface="Times New Roman"/>
                    <a:ea typeface="Times New Roman"/>
                    <a:cs typeface="Times New Roman"/>
                  </a:defRPr>
                </a:pPr>
                <a:endParaRPr lang="en-US"/>
              </a:p>
            </c:txPr>
            <c:showVal val="1"/>
          </c:dLbls>
          <c:cat>
            <c:numRef>
              <c:f>Sheet1!$B$1:$N$1</c:f>
              <c:numCache>
                <c:formatCode>General</c:formatCode>
                <c:ptCount val="13"/>
                <c:pt idx="0">
                  <c:v>10</c:v>
                </c:pt>
                <c:pt idx="1">
                  <c:v>11</c:v>
                </c:pt>
                <c:pt idx="2">
                  <c:v>12</c:v>
                </c:pt>
                <c:pt idx="3">
                  <c:v>1</c:v>
                </c:pt>
                <c:pt idx="4">
                  <c:v>2</c:v>
                </c:pt>
                <c:pt idx="5">
                  <c:v>3</c:v>
                </c:pt>
                <c:pt idx="6">
                  <c:v>4</c:v>
                </c:pt>
                <c:pt idx="7">
                  <c:v>5</c:v>
                </c:pt>
                <c:pt idx="8">
                  <c:v>6</c:v>
                </c:pt>
                <c:pt idx="9">
                  <c:v>7</c:v>
                </c:pt>
                <c:pt idx="10">
                  <c:v>8</c:v>
                </c:pt>
                <c:pt idx="11">
                  <c:v>9</c:v>
                </c:pt>
              </c:numCache>
            </c:numRef>
          </c:cat>
          <c:val>
            <c:numRef>
              <c:f>Sheet1!$B$2:$N$2</c:f>
              <c:numCache>
                <c:formatCode>General</c:formatCode>
                <c:ptCount val="13"/>
                <c:pt idx="0">
                  <c:v>42632</c:v>
                </c:pt>
                <c:pt idx="1">
                  <c:v>38883</c:v>
                </c:pt>
                <c:pt idx="2">
                  <c:v>36080</c:v>
                </c:pt>
                <c:pt idx="3">
                  <c:v>36615</c:v>
                </c:pt>
                <c:pt idx="4">
                  <c:v>36880</c:v>
                </c:pt>
                <c:pt idx="5">
                  <c:v>36781</c:v>
                </c:pt>
                <c:pt idx="6">
                  <c:v>36896</c:v>
                </c:pt>
                <c:pt idx="7">
                  <c:v>36341</c:v>
                </c:pt>
                <c:pt idx="8">
                  <c:v>35785</c:v>
                </c:pt>
                <c:pt idx="9">
                  <c:v>35273</c:v>
                </c:pt>
                <c:pt idx="10">
                  <c:v>35608</c:v>
                </c:pt>
                <c:pt idx="11">
                  <c:v>32675</c:v>
                </c:pt>
              </c:numCache>
            </c:numRef>
          </c:val>
        </c:ser>
        <c:ser>
          <c:idx val="1"/>
          <c:order val="1"/>
          <c:tx>
            <c:strRef>
              <c:f>Sheet1!$A$3</c:f>
              <c:strCache>
                <c:ptCount val="1"/>
                <c:pt idx="0">
                  <c:v>Niên vụ 2018-2019</c:v>
                </c:pt>
              </c:strCache>
            </c:strRef>
          </c:tx>
          <c:spPr>
            <a:ln w="25399">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1.9285262953241952E-2"/>
                  <c:y val="5.6240295909778387E-2"/>
                </c:manualLayout>
              </c:layout>
              <c:dLblPos val="r"/>
              <c:showVal val="1"/>
            </c:dLbl>
            <c:dLbl>
              <c:idx val="1"/>
              <c:layout>
                <c:manualLayout>
                  <c:x val="-2.6333340276909974E-2"/>
                  <c:y val="5.432446118196245E-2"/>
                </c:manualLayout>
              </c:layout>
              <c:dLblPos val="r"/>
              <c:showVal val="1"/>
            </c:dLbl>
            <c:dLbl>
              <c:idx val="2"/>
              <c:layout>
                <c:manualLayout>
                  <c:x val="-1.7929560732769079E-2"/>
                  <c:y val="3.179058758939992E-2"/>
                </c:manualLayout>
              </c:layout>
              <c:dLblPos val="r"/>
              <c:showVal val="1"/>
            </c:dLbl>
            <c:dLbl>
              <c:idx val="3"/>
              <c:layout>
                <c:manualLayout>
                  <c:x val="-2.0002609541137344E-2"/>
                  <c:y val="4.3055164983307005E-2"/>
                </c:manualLayout>
              </c:layout>
              <c:dLblPos val="r"/>
              <c:showVal val="1"/>
            </c:dLbl>
            <c:dLbl>
              <c:idx val="4"/>
              <c:layout>
                <c:manualLayout>
                  <c:x val="-3.2025733516312084E-2"/>
                  <c:y val="6.1947869902792663E-2"/>
                </c:manualLayout>
              </c:layout>
              <c:dLblPos val="r"/>
              <c:showVal val="1"/>
            </c:dLbl>
            <c:dLbl>
              <c:idx val="5"/>
              <c:layout>
                <c:manualLayout>
                  <c:x val="-3.2440407531977321E-2"/>
                  <c:y val="5.8099792420497773E-2"/>
                </c:manualLayout>
              </c:layout>
              <c:dLblPos val="r"/>
              <c:showVal val="1"/>
            </c:dLbl>
            <c:dLbl>
              <c:idx val="6"/>
              <c:layout>
                <c:manualLayout>
                  <c:x val="-3.3947319085114433E-2"/>
                  <c:y val="6.0266466353005949E-2"/>
                </c:manualLayout>
              </c:layout>
              <c:dLblPos val="r"/>
              <c:showVal val="1"/>
            </c:dLbl>
            <c:dLbl>
              <c:idx val="7"/>
              <c:layout>
                <c:manualLayout>
                  <c:x val="-2.6675485008818407E-2"/>
                  <c:y val="5.6530370658519985E-2"/>
                </c:manualLayout>
              </c:layout>
              <c:dLblPos val="r"/>
              <c:showVal val="1"/>
            </c:dLbl>
            <c:dLbl>
              <c:idx val="8"/>
              <c:layout>
                <c:manualLayout>
                  <c:x val="-3.3684157535863624E-2"/>
                  <c:y val="6.5174262824489695E-2"/>
                </c:manualLayout>
              </c:layout>
              <c:dLblPos val="r"/>
              <c:showVal val="1"/>
            </c:dLbl>
            <c:dLbl>
              <c:idx val="9"/>
              <c:layout>
                <c:manualLayout>
                  <c:x val="-3.4098756415813072E-2"/>
                  <c:y val="5.765241619570452E-2"/>
                </c:manualLayout>
              </c:layout>
              <c:dLblPos val="r"/>
              <c:showVal val="1"/>
            </c:dLbl>
            <c:dLbl>
              <c:idx val="10"/>
              <c:layout>
                <c:manualLayout>
                  <c:x val="-2.6241164298907091E-2"/>
                  <c:y val="6.6178290336319029E-2"/>
                </c:manualLayout>
              </c:layout>
              <c:dLblPos val="r"/>
              <c:showVal val="1"/>
            </c:dLbl>
            <c:dLbl>
              <c:idx val="11"/>
              <c:layout>
                <c:manualLayout>
                  <c:x val="-6.2485244899943143E-3"/>
                  <c:y val="-4.7479665748495228E-2"/>
                </c:manualLayout>
              </c:layout>
              <c:dLblPos val="r"/>
              <c:showVal val="1"/>
            </c:dLbl>
            <c:numFmt formatCode="0" sourceLinked="0"/>
            <c:spPr>
              <a:solidFill>
                <a:srgbClr val="FFFFFF"/>
              </a:solidFill>
              <a:ln w="25399">
                <a:noFill/>
              </a:ln>
            </c:spPr>
            <c:txPr>
              <a:bodyPr/>
              <a:lstStyle/>
              <a:p>
                <a:pPr>
                  <a:defRPr sz="800" b="0" i="0" u="none" strike="noStrike" baseline="0">
                    <a:solidFill>
                      <a:srgbClr val="000000"/>
                    </a:solidFill>
                    <a:latin typeface="Times New Roman"/>
                    <a:ea typeface="Times New Roman"/>
                    <a:cs typeface="Times New Roman"/>
                  </a:defRPr>
                </a:pPr>
                <a:endParaRPr lang="en-US"/>
              </a:p>
            </c:txPr>
            <c:showVal val="1"/>
          </c:dLbls>
          <c:cat>
            <c:numRef>
              <c:f>Sheet1!$B$1:$N$1</c:f>
              <c:numCache>
                <c:formatCode>General</c:formatCode>
                <c:ptCount val="13"/>
                <c:pt idx="0">
                  <c:v>10</c:v>
                </c:pt>
                <c:pt idx="1">
                  <c:v>11</c:v>
                </c:pt>
                <c:pt idx="2">
                  <c:v>12</c:v>
                </c:pt>
                <c:pt idx="3">
                  <c:v>1</c:v>
                </c:pt>
                <c:pt idx="4">
                  <c:v>2</c:v>
                </c:pt>
                <c:pt idx="5">
                  <c:v>3</c:v>
                </c:pt>
                <c:pt idx="6">
                  <c:v>4</c:v>
                </c:pt>
                <c:pt idx="7">
                  <c:v>5</c:v>
                </c:pt>
                <c:pt idx="8">
                  <c:v>6</c:v>
                </c:pt>
                <c:pt idx="9">
                  <c:v>7</c:v>
                </c:pt>
                <c:pt idx="10">
                  <c:v>8</c:v>
                </c:pt>
                <c:pt idx="11">
                  <c:v>9</c:v>
                </c:pt>
              </c:numCache>
            </c:numRef>
          </c:cat>
          <c:val>
            <c:numRef>
              <c:f>Sheet1!$B$3:$N$3</c:f>
              <c:numCache>
                <c:formatCode>General</c:formatCode>
                <c:ptCount val="13"/>
                <c:pt idx="0">
                  <c:v>36193</c:v>
                </c:pt>
                <c:pt idx="1">
                  <c:v>35842</c:v>
                </c:pt>
                <c:pt idx="2">
                  <c:v>33400</c:v>
                </c:pt>
                <c:pt idx="3">
                  <c:v>33669</c:v>
                </c:pt>
                <c:pt idx="4">
                  <c:v>33289</c:v>
                </c:pt>
                <c:pt idx="5">
                  <c:v>33038</c:v>
                </c:pt>
                <c:pt idx="6">
                  <c:v>31625</c:v>
                </c:pt>
                <c:pt idx="7">
                  <c:v>31323</c:v>
                </c:pt>
                <c:pt idx="8">
                  <c:v>33263</c:v>
                </c:pt>
                <c:pt idx="9">
                  <c:v>34026</c:v>
                </c:pt>
                <c:pt idx="10">
                  <c:v>33107</c:v>
                </c:pt>
                <c:pt idx="11">
                  <c:v>33488</c:v>
                </c:pt>
              </c:numCache>
            </c:numRef>
          </c:val>
        </c:ser>
        <c:dLbls>
          <c:showVal val="1"/>
        </c:dLbls>
        <c:marker val="1"/>
        <c:axId val="53672576"/>
        <c:axId val="73917184"/>
      </c:lineChart>
      <c:catAx>
        <c:axId val="53672576"/>
        <c:scaling>
          <c:orientation val="minMax"/>
        </c:scaling>
        <c:axPos val="b"/>
        <c:title>
          <c:tx>
            <c:rich>
              <a:bodyPr/>
              <a:lstStyle/>
              <a:p>
                <a:pPr>
                  <a:defRPr sz="800" b="1" i="0" u="none" strike="noStrike" baseline="0">
                    <a:solidFill>
                      <a:srgbClr val="000000"/>
                    </a:solidFill>
                    <a:latin typeface="Times New Roman"/>
                    <a:ea typeface="Times New Roman"/>
                    <a:cs typeface="Times New Roman"/>
                  </a:defRPr>
                </a:pPr>
                <a:r>
                  <a:t>Tháng</a:t>
                </a:r>
              </a:p>
            </c:rich>
          </c:tx>
          <c:layout>
            <c:manualLayout>
              <c:xMode val="edge"/>
              <c:yMode val="edge"/>
              <c:x val="0.90878934250865695"/>
              <c:y val="0.88311691807754766"/>
            </c:manualLayout>
          </c:layout>
          <c:spPr>
            <a:noFill/>
            <a:ln w="2541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73917184"/>
        <c:crosses val="autoZero"/>
        <c:auto val="1"/>
        <c:lblAlgn val="ctr"/>
        <c:lblOffset val="100"/>
        <c:tickLblSkip val="1"/>
        <c:tickMarkSkip val="1"/>
      </c:catAx>
      <c:valAx>
        <c:axId val="73917184"/>
        <c:scaling>
          <c:orientation val="minMax"/>
        </c:scaling>
        <c:axPos val="l"/>
        <c:majorGridlines>
          <c:spPr>
            <a:ln w="12700">
              <a:solidFill>
                <a:srgbClr val="000000"/>
              </a:solidFill>
              <a:prstDash val="lgDash"/>
            </a:ln>
          </c:spPr>
        </c:majorGridlines>
        <c:title>
          <c:tx>
            <c:rich>
              <a:bodyPr rot="0" vert="horz"/>
              <a:lstStyle/>
              <a:p>
                <a:pPr algn="ctr">
                  <a:defRPr sz="800" b="1" i="0" u="none" strike="noStrike" baseline="0">
                    <a:solidFill>
                      <a:srgbClr val="000000"/>
                    </a:solidFill>
                    <a:latin typeface="Times New Roman"/>
                    <a:ea typeface="Times New Roman"/>
                    <a:cs typeface="Times New Roman"/>
                  </a:defRPr>
                </a:pPr>
                <a:r>
                  <a:t>Đồng/kg</a:t>
                </a:r>
              </a:p>
            </c:rich>
          </c:tx>
          <c:layout>
            <c:manualLayout>
              <c:xMode val="edge"/>
              <c:yMode val="edge"/>
              <c:x val="9.9502856260614558E-3"/>
              <c:y val="0.11688308192245199"/>
            </c:manualLayout>
          </c:layout>
          <c:spPr>
            <a:noFill/>
            <a:ln w="2541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en-US"/>
          </a:p>
        </c:txPr>
        <c:crossAx val="53672576"/>
        <c:crosses val="autoZero"/>
        <c:crossBetween val="midCat"/>
        <c:majorUnit val="10000"/>
      </c:valAx>
      <c:spPr>
        <a:solidFill>
          <a:srgbClr val="FFFFFF"/>
        </a:solidFill>
        <a:ln w="12700">
          <a:solidFill>
            <a:srgbClr val="808080"/>
          </a:solidFill>
          <a:prstDash val="solid"/>
        </a:ln>
      </c:spPr>
    </c:plotArea>
    <c:legend>
      <c:legendPos val="r"/>
      <c:layout>
        <c:manualLayout>
          <c:xMode val="edge"/>
          <c:yMode val="edge"/>
          <c:wMode val="edge"/>
          <c:hMode val="edge"/>
          <c:x val="0.22719742385143044"/>
          <c:y val="0.8733765971561247"/>
          <c:w val="0.8109452788989614"/>
          <c:h val="0.96428561814388625"/>
        </c:manualLayout>
      </c:layout>
      <c:spPr>
        <a:noFill/>
        <a:ln w="25399">
          <a:noFill/>
        </a:ln>
      </c:spPr>
      <c:txPr>
        <a:bodyPr/>
        <a:lstStyle/>
        <a:p>
          <a:pPr>
            <a:defRPr sz="1010" b="0"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12700">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1" b="1" i="0" u="none" strike="noStrike" baseline="0">
                <a:solidFill>
                  <a:srgbClr val="000000"/>
                </a:solidFill>
                <a:latin typeface="Times New Roman"/>
                <a:ea typeface="Times New Roman"/>
                <a:cs typeface="Times New Roman"/>
              </a:defRPr>
            </a:pPr>
            <a:r>
              <a:rPr lang="vi-VN"/>
              <a:t>GIÁ </a:t>
            </a:r>
            <a:r>
              <a:rPr lang="en-US"/>
              <a:t>FOB TẠI</a:t>
            </a:r>
            <a:r>
              <a:rPr lang="en-US" baseline="0"/>
              <a:t> HCM VÀ GIÁ TẠI LONDON</a:t>
            </a:r>
            <a:endParaRPr lang="vi-VN"/>
          </a:p>
        </c:rich>
      </c:tx>
      <c:layout>
        <c:manualLayout>
          <c:xMode val="edge"/>
          <c:yMode val="edge"/>
          <c:x val="0.23995235889631453"/>
          <c:y val="2.8455076333451398E-2"/>
        </c:manualLayout>
      </c:layout>
      <c:spPr>
        <a:noFill/>
        <a:ln w="25394">
          <a:noFill/>
        </a:ln>
      </c:spPr>
    </c:title>
    <c:plotArea>
      <c:layout>
        <c:manualLayout>
          <c:layoutTarget val="inner"/>
          <c:xMode val="edge"/>
          <c:yMode val="edge"/>
          <c:x val="9.4379695593606677E-2"/>
          <c:y val="0.20212487978308277"/>
          <c:w val="0.86919655876348945"/>
          <c:h val="0.57015234119358071"/>
        </c:manualLayout>
      </c:layout>
      <c:lineChart>
        <c:grouping val="standard"/>
        <c:ser>
          <c:idx val="0"/>
          <c:order val="0"/>
          <c:tx>
            <c:strRef>
              <c:f>Sheet1!$A$2</c:f>
              <c:strCache>
                <c:ptCount val="1"/>
                <c:pt idx="0">
                  <c:v>Giá FOB </c:v>
                </c:pt>
              </c:strCache>
            </c:strRef>
          </c:tx>
          <c:spPr>
            <a:ln w="25421">
              <a:solidFill>
                <a:srgbClr val="000080"/>
              </a:solidFill>
              <a:prstDash val="solid"/>
            </a:ln>
          </c:spPr>
          <c:marker>
            <c:symbol val="diamond"/>
            <c:size val="6"/>
            <c:spPr>
              <a:solidFill>
                <a:srgbClr val="000080"/>
              </a:solidFill>
              <a:ln>
                <a:solidFill>
                  <a:srgbClr val="000080"/>
                </a:solidFill>
                <a:prstDash val="solid"/>
              </a:ln>
            </c:spPr>
          </c:marker>
          <c:dLbls>
            <c:dLbl>
              <c:idx val="0"/>
              <c:layout>
                <c:manualLayout>
                  <c:x val="-4.0885959146350792E-2"/>
                  <c:y val="5.9957134330581467E-2"/>
                </c:manualLayout>
              </c:layout>
              <c:dLblPos val="r"/>
              <c:showVal val="1"/>
            </c:dLbl>
            <c:dLbl>
              <c:idx val="1"/>
              <c:layout>
                <c:manualLayout>
                  <c:x val="-4.8738488284349624E-2"/>
                  <c:y val="4.9295519831432086E-2"/>
                </c:manualLayout>
              </c:layout>
              <c:dLblPos val="r"/>
              <c:showVal val="1"/>
            </c:dLbl>
            <c:dLbl>
              <c:idx val="2"/>
              <c:layout>
                <c:manualLayout>
                  <c:x val="-4.7763979082620388E-2"/>
                  <c:y val="3.9613330724342692E-2"/>
                </c:manualLayout>
              </c:layout>
              <c:dLblPos val="r"/>
              <c:showVal val="1"/>
            </c:dLbl>
            <c:dLbl>
              <c:idx val="3"/>
              <c:layout>
                <c:manualLayout>
                  <c:x val="-4.0189037414204966E-2"/>
                  <c:y val="4.9681950222847403E-2"/>
                </c:manualLayout>
              </c:layout>
              <c:dLblPos val="r"/>
              <c:showVal val="1"/>
            </c:dLbl>
            <c:dLbl>
              <c:idx val="4"/>
              <c:layout>
                <c:manualLayout>
                  <c:x val="-3.9785336989103609E-2"/>
                  <c:y val="4.3043427398687613E-2"/>
                </c:manualLayout>
              </c:layout>
              <c:dLblPos val="r"/>
              <c:showVal val="1"/>
            </c:dLbl>
            <c:dLbl>
              <c:idx val="5"/>
              <c:layout>
                <c:manualLayout>
                  <c:x val="-4.1572979448104702E-2"/>
                  <c:y val="4.1214909046581406E-2"/>
                </c:manualLayout>
              </c:layout>
              <c:dLblPos val="r"/>
              <c:showVal val="1"/>
            </c:dLbl>
            <c:dLbl>
              <c:idx val="6"/>
              <c:layout>
                <c:manualLayout>
                  <c:x val="-4.4460201808522413E-2"/>
                  <c:y val="6.2895410506761354E-2"/>
                </c:manualLayout>
              </c:layout>
              <c:dLblPos val="r"/>
              <c:showVal val="1"/>
            </c:dLbl>
            <c:dLbl>
              <c:idx val="7"/>
              <c:layout>
                <c:manualLayout>
                  <c:x val="-4.4599459789748434E-2"/>
                  <c:y val="6.507503954425399E-2"/>
                </c:manualLayout>
              </c:layout>
              <c:dLblPos val="r"/>
              <c:showVal val="1"/>
            </c:dLbl>
            <c:dLbl>
              <c:idx val="8"/>
              <c:layout>
                <c:manualLayout>
                  <c:x val="-4.1440960376212546E-2"/>
                  <c:y val="7.3756212307667463E-2"/>
                </c:manualLayout>
              </c:layout>
              <c:dLblPos val="r"/>
              <c:showVal val="1"/>
            </c:dLbl>
            <c:dLbl>
              <c:idx val="9"/>
              <c:layout>
                <c:manualLayout>
                  <c:x val="-3.4415982367810696E-2"/>
                  <c:y val="-7.6659007147908353E-2"/>
                </c:manualLayout>
              </c:layout>
              <c:dLblPos val="r"/>
              <c:showVal val="1"/>
            </c:dLbl>
            <c:dLbl>
              <c:idx val="10"/>
              <c:layout>
                <c:manualLayout>
                  <c:x val="-3.5095706878749543E-2"/>
                  <c:y val="-9.3903990315351793E-2"/>
                </c:manualLayout>
              </c:layout>
              <c:dLblPos val="r"/>
              <c:showVal val="1"/>
            </c:dLbl>
            <c:dLbl>
              <c:idx val="11"/>
              <c:layout>
                <c:manualLayout>
                  <c:x val="-3.6335909400213896E-2"/>
                  <c:y val="-6.3531456561240887E-2"/>
                </c:manualLayout>
              </c:layout>
              <c:dLblPos val="r"/>
              <c:showVal val="1"/>
            </c:dLbl>
            <c:spPr>
              <a:noFill/>
              <a:ln w="25394">
                <a:noFill/>
              </a:ln>
            </c:spPr>
            <c:txPr>
              <a:bodyPr/>
              <a:lstStyle/>
              <a:p>
                <a:pPr>
                  <a:defRPr sz="800" b="0" i="0" u="none" strike="noStrike" baseline="0">
                    <a:solidFill>
                      <a:srgbClr val="000000"/>
                    </a:solidFill>
                    <a:latin typeface="Times New Roman"/>
                    <a:ea typeface="Times New Roman"/>
                    <a:cs typeface="Times New Roman"/>
                  </a:defRPr>
                </a:pPr>
                <a:endParaRPr lang="en-US"/>
              </a:p>
            </c:txPr>
            <c:showVal val="1"/>
          </c:dLbls>
          <c:cat>
            <c:numRef>
              <c:f>Sheet1!$B$1:$M$1</c:f>
              <c:numCache>
                <c:formatCode>General</c:formatCode>
                <c:ptCount val="12"/>
                <c:pt idx="0">
                  <c:v>10</c:v>
                </c:pt>
                <c:pt idx="1">
                  <c:v>11</c:v>
                </c:pt>
                <c:pt idx="2">
                  <c:v>12</c:v>
                </c:pt>
                <c:pt idx="3">
                  <c:v>1</c:v>
                </c:pt>
                <c:pt idx="4">
                  <c:v>2</c:v>
                </c:pt>
                <c:pt idx="5">
                  <c:v>3</c:v>
                </c:pt>
                <c:pt idx="6">
                  <c:v>4</c:v>
                </c:pt>
                <c:pt idx="7">
                  <c:v>5</c:v>
                </c:pt>
                <c:pt idx="8">
                  <c:v>6</c:v>
                </c:pt>
                <c:pt idx="9">
                  <c:v>7</c:v>
                </c:pt>
                <c:pt idx="10">
                  <c:v>8</c:v>
                </c:pt>
                <c:pt idx="11">
                  <c:v>9</c:v>
                </c:pt>
              </c:numCache>
            </c:numRef>
          </c:cat>
          <c:val>
            <c:numRef>
              <c:f>Sheet1!$B$2:$M$2</c:f>
              <c:numCache>
                <c:formatCode>General</c:formatCode>
                <c:ptCount val="12"/>
                <c:pt idx="0">
                  <c:v>1601</c:v>
                </c:pt>
                <c:pt idx="1">
                  <c:v>1554</c:v>
                </c:pt>
                <c:pt idx="2">
                  <c:v>1431</c:v>
                </c:pt>
                <c:pt idx="3">
                  <c:v>1456</c:v>
                </c:pt>
                <c:pt idx="4">
                  <c:v>1448</c:v>
                </c:pt>
                <c:pt idx="5">
                  <c:v>1429</c:v>
                </c:pt>
                <c:pt idx="6">
                  <c:v>1362</c:v>
                </c:pt>
                <c:pt idx="7">
                  <c:v>1312</c:v>
                </c:pt>
                <c:pt idx="8">
                  <c:v>1379</c:v>
                </c:pt>
                <c:pt idx="9">
                  <c:v>1394</c:v>
                </c:pt>
                <c:pt idx="10">
                  <c:v>1384</c:v>
                </c:pt>
                <c:pt idx="11">
                  <c:v>1495</c:v>
                </c:pt>
              </c:numCache>
            </c:numRef>
          </c:val>
        </c:ser>
        <c:ser>
          <c:idx val="1"/>
          <c:order val="1"/>
          <c:tx>
            <c:strRef>
              <c:f>Sheet1!$A$3</c:f>
              <c:strCache>
                <c:ptCount val="1"/>
                <c:pt idx="0">
                  <c:v>Giá London</c:v>
                </c:pt>
              </c:strCache>
            </c:strRef>
          </c:tx>
          <c:spPr>
            <a:ln w="25421">
              <a:solidFill>
                <a:srgbClr val="FF00FF"/>
              </a:solidFill>
              <a:prstDash val="solid"/>
            </a:ln>
          </c:spPr>
          <c:marker>
            <c:symbol val="square"/>
            <c:size val="5"/>
            <c:spPr>
              <a:solidFill>
                <a:srgbClr val="FF00FF"/>
              </a:solidFill>
              <a:ln>
                <a:solidFill>
                  <a:srgbClr val="FF00FF"/>
                </a:solidFill>
                <a:prstDash val="solid"/>
              </a:ln>
            </c:spPr>
          </c:marker>
          <c:dLbls>
            <c:dLbl>
              <c:idx val="0"/>
              <c:layout>
                <c:manualLayout>
                  <c:x val="-4.0890475588283931E-2"/>
                  <c:y val="-3.7055512833528981E-2"/>
                </c:manualLayout>
              </c:layout>
              <c:dLblPos val="r"/>
              <c:showVal val="1"/>
            </c:dLbl>
            <c:dLbl>
              <c:idx val="1"/>
              <c:layout>
                <c:manualLayout>
                  <c:x val="-3.9915843852851782E-2"/>
                  <c:y val="-5.7545704572484285E-2"/>
                </c:manualLayout>
              </c:layout>
              <c:dLblPos val="r"/>
              <c:showVal val="1"/>
            </c:dLbl>
            <c:dLbl>
              <c:idx val="2"/>
              <c:layout>
                <c:manualLayout>
                  <c:x val="-3.3434188781957815E-2"/>
                  <c:y val="-6.5934912014673733E-2"/>
                </c:manualLayout>
              </c:layout>
              <c:dLblPos val="r"/>
              <c:showVal val="1"/>
            </c:dLbl>
            <c:dLbl>
              <c:idx val="3"/>
              <c:layout>
                <c:manualLayout>
                  <c:x val="-3.9631157216459198E-2"/>
                  <c:y val="-5.8410687220026486E-2"/>
                </c:manualLayout>
              </c:layout>
              <c:dLblPos val="r"/>
              <c:showVal val="1"/>
            </c:dLbl>
            <c:dLbl>
              <c:idx val="4"/>
              <c:layout>
                <c:manualLayout>
                  <c:x val="-3.1502659389798487E-2"/>
                  <c:y val="-5.8717297847355174E-2"/>
                </c:manualLayout>
              </c:layout>
              <c:dLblPos val="r"/>
              <c:showVal val="1"/>
            </c:dLbl>
            <c:dLbl>
              <c:idx val="5"/>
              <c:layout>
                <c:manualLayout>
                  <c:x val="-3.9364003110722273E-2"/>
                  <c:y val="-6.3387318380046589E-2"/>
                </c:manualLayout>
              </c:layout>
              <c:dLblPos val="r"/>
              <c:showVal val="1"/>
            </c:dLbl>
            <c:dLbl>
              <c:idx val="6"/>
              <c:layout>
                <c:manualLayout>
                  <c:x val="-3.950495771361924E-2"/>
                  <c:y val="-6.34925880287628E-2"/>
                </c:manualLayout>
              </c:layout>
              <c:dLblPos val="r"/>
              <c:showVal val="1"/>
            </c:dLbl>
            <c:dLbl>
              <c:idx val="7"/>
              <c:layout>
                <c:manualLayout>
                  <c:x val="-3.9636885667069501E-2"/>
                  <c:y val="-5.8040369717908005E-2"/>
                </c:manualLayout>
              </c:layout>
              <c:dLblPos val="r"/>
              <c:showVal val="1"/>
            </c:dLbl>
            <c:dLbl>
              <c:idx val="8"/>
              <c:layout>
                <c:manualLayout>
                  <c:x val="-3.7573428321459802E-2"/>
                  <c:y val="-5.5169472210686493E-2"/>
                </c:manualLayout>
              </c:layout>
              <c:dLblPos val="r"/>
              <c:showVal val="1"/>
            </c:dLbl>
            <c:dLbl>
              <c:idx val="9"/>
              <c:layout>
                <c:manualLayout>
                  <c:x val="-4.0469230523365304E-2"/>
                  <c:y val="6.9609462907424979E-2"/>
                </c:manualLayout>
              </c:layout>
              <c:dLblPos val="r"/>
              <c:showVal val="1"/>
            </c:dLbl>
            <c:dLbl>
              <c:idx val="10"/>
              <c:layout>
                <c:manualLayout>
                  <c:x val="-3.5094317204308577E-2"/>
                  <c:y val="5.9712277982566481E-2"/>
                </c:manualLayout>
              </c:layout>
              <c:dLblPos val="r"/>
              <c:showVal val="1"/>
            </c:dLbl>
            <c:dLbl>
              <c:idx val="11"/>
              <c:layout>
                <c:manualLayout>
                  <c:x val="-3.1364706829293341E-2"/>
                  <c:y val="6.1254135244313578E-2"/>
                </c:manualLayout>
              </c:layout>
              <c:dLblPos val="r"/>
              <c:showVal val="1"/>
            </c:dLbl>
            <c:spPr>
              <a:solidFill>
                <a:srgbClr val="FFFFFF"/>
              </a:solidFill>
              <a:ln w="25421">
                <a:noFill/>
              </a:ln>
            </c:spPr>
            <c:txPr>
              <a:bodyPr/>
              <a:lstStyle/>
              <a:p>
                <a:pPr>
                  <a:defRPr sz="800" b="0" i="0" u="none" strike="noStrike" baseline="0">
                    <a:solidFill>
                      <a:srgbClr val="000000"/>
                    </a:solidFill>
                    <a:latin typeface="Times New Roman"/>
                    <a:ea typeface="Times New Roman"/>
                    <a:cs typeface="Times New Roman"/>
                  </a:defRPr>
                </a:pPr>
                <a:endParaRPr lang="en-US"/>
              </a:p>
            </c:txPr>
            <c:showVal val="1"/>
          </c:dLbls>
          <c:cat>
            <c:numRef>
              <c:f>Sheet1!$B$1:$M$1</c:f>
              <c:numCache>
                <c:formatCode>General</c:formatCode>
                <c:ptCount val="12"/>
                <c:pt idx="0">
                  <c:v>10</c:v>
                </c:pt>
                <c:pt idx="1">
                  <c:v>11</c:v>
                </c:pt>
                <c:pt idx="2">
                  <c:v>12</c:v>
                </c:pt>
                <c:pt idx="3">
                  <c:v>1</c:v>
                </c:pt>
                <c:pt idx="4">
                  <c:v>2</c:v>
                </c:pt>
                <c:pt idx="5">
                  <c:v>3</c:v>
                </c:pt>
                <c:pt idx="6">
                  <c:v>4</c:v>
                </c:pt>
                <c:pt idx="7">
                  <c:v>5</c:v>
                </c:pt>
                <c:pt idx="8">
                  <c:v>6</c:v>
                </c:pt>
                <c:pt idx="9">
                  <c:v>7</c:v>
                </c:pt>
                <c:pt idx="10">
                  <c:v>8</c:v>
                </c:pt>
                <c:pt idx="11">
                  <c:v>9</c:v>
                </c:pt>
              </c:numCache>
            </c:numRef>
          </c:cat>
          <c:val>
            <c:numRef>
              <c:f>Sheet1!$B$3:$M$3</c:f>
              <c:numCache>
                <c:formatCode>General</c:formatCode>
                <c:ptCount val="12"/>
                <c:pt idx="0">
                  <c:v>1679</c:v>
                </c:pt>
                <c:pt idx="1">
                  <c:v>1651</c:v>
                </c:pt>
                <c:pt idx="2">
                  <c:v>1524</c:v>
                </c:pt>
                <c:pt idx="3">
                  <c:v>1541</c:v>
                </c:pt>
                <c:pt idx="4">
                  <c:v>1524</c:v>
                </c:pt>
                <c:pt idx="5">
                  <c:v>1507</c:v>
                </c:pt>
                <c:pt idx="6">
                  <c:v>1421</c:v>
                </c:pt>
                <c:pt idx="7">
                  <c:v>1356</c:v>
                </c:pt>
                <c:pt idx="8">
                  <c:v>1424</c:v>
                </c:pt>
                <c:pt idx="9">
                  <c:v>1390</c:v>
                </c:pt>
                <c:pt idx="10">
                  <c:v>1307</c:v>
                </c:pt>
                <c:pt idx="11">
                  <c:v>1312</c:v>
                </c:pt>
              </c:numCache>
            </c:numRef>
          </c:val>
        </c:ser>
        <c:dLbls>
          <c:showVal val="1"/>
        </c:dLbls>
        <c:marker val="1"/>
        <c:axId val="75331840"/>
        <c:axId val="75379072"/>
      </c:lineChart>
      <c:catAx>
        <c:axId val="75331840"/>
        <c:scaling>
          <c:orientation val="minMax"/>
        </c:scaling>
        <c:axPos val="b"/>
        <c:title>
          <c:tx>
            <c:rich>
              <a:bodyPr/>
              <a:lstStyle/>
              <a:p>
                <a:pPr>
                  <a:defRPr sz="975" b="1" i="0" u="none" strike="noStrike" baseline="0">
                    <a:solidFill>
                      <a:srgbClr val="000000"/>
                    </a:solidFill>
                    <a:latin typeface="Times New Roman"/>
                    <a:ea typeface="Times New Roman"/>
                    <a:cs typeface="Times New Roman"/>
                  </a:defRPr>
                </a:pPr>
                <a:r>
                  <a:t>Tháng</a:t>
                </a:r>
              </a:p>
            </c:rich>
          </c:tx>
          <c:layout>
            <c:manualLayout>
              <c:xMode val="edge"/>
              <c:yMode val="edge"/>
              <c:x val="0.9254967246741217"/>
              <c:y val="0.85478534906320103"/>
            </c:manualLayout>
          </c:layout>
          <c:spPr>
            <a:noFill/>
            <a:ln w="25394">
              <a:noFill/>
            </a:ln>
          </c:spPr>
        </c:title>
        <c:numFmt formatCode="General" sourceLinked="1"/>
        <c:tickLblPos val="nextTo"/>
        <c:spPr>
          <a:ln w="3177">
            <a:solidFill>
              <a:srgbClr val="000000"/>
            </a:solidFill>
            <a:prstDash val="solid"/>
          </a:ln>
        </c:spPr>
        <c:txPr>
          <a:bodyPr rot="0" vert="horz"/>
          <a:lstStyle/>
          <a:p>
            <a:pPr>
              <a:defRPr sz="925" b="0" i="0" u="none" strike="noStrike" baseline="0">
                <a:solidFill>
                  <a:srgbClr val="000000"/>
                </a:solidFill>
                <a:latin typeface="Times New Roman"/>
                <a:ea typeface="Times New Roman"/>
                <a:cs typeface="Times New Roman"/>
              </a:defRPr>
            </a:pPr>
            <a:endParaRPr lang="en-US"/>
          </a:p>
        </c:txPr>
        <c:crossAx val="75379072"/>
        <c:crosses val="autoZero"/>
        <c:auto val="1"/>
        <c:lblAlgn val="ctr"/>
        <c:lblOffset val="100"/>
        <c:tickLblSkip val="1"/>
        <c:tickMarkSkip val="1"/>
      </c:catAx>
      <c:valAx>
        <c:axId val="75379072"/>
        <c:scaling>
          <c:orientation val="minMax"/>
          <c:max val="2000"/>
        </c:scaling>
        <c:axPos val="l"/>
        <c:majorGridlines>
          <c:spPr>
            <a:ln w="12711">
              <a:solidFill>
                <a:srgbClr val="000000"/>
              </a:solidFill>
              <a:prstDash val="lgDash"/>
            </a:ln>
          </c:spPr>
        </c:majorGridlines>
        <c:title>
          <c:tx>
            <c:rich>
              <a:bodyPr rot="0" vert="horz"/>
              <a:lstStyle/>
              <a:p>
                <a:pPr algn="ctr">
                  <a:defRPr sz="975" b="1" i="0" u="none" strike="noStrike" baseline="0">
                    <a:solidFill>
                      <a:srgbClr val="000000"/>
                    </a:solidFill>
                    <a:latin typeface="Times New Roman"/>
                    <a:ea typeface="Times New Roman"/>
                    <a:cs typeface="Times New Roman"/>
                  </a:defRPr>
                </a:pPr>
                <a:r>
                  <a:t>USD/tấn</a:t>
                </a:r>
              </a:p>
            </c:rich>
          </c:tx>
          <c:layout>
            <c:manualLayout>
              <c:xMode val="edge"/>
              <c:yMode val="edge"/>
              <c:x val="4.8030878493129509E-2"/>
              <c:y val="6.3953718587944672E-2"/>
            </c:manualLayout>
          </c:layout>
          <c:spPr>
            <a:noFill/>
            <a:ln w="25394">
              <a:noFill/>
            </a:ln>
          </c:spPr>
        </c:title>
        <c:numFmt formatCode="General" sourceLinked="1"/>
        <c:tickLblPos val="nextTo"/>
        <c:spPr>
          <a:ln w="3177">
            <a:solidFill>
              <a:srgbClr val="000000"/>
            </a:solidFill>
            <a:prstDash val="solid"/>
          </a:ln>
        </c:spPr>
        <c:txPr>
          <a:bodyPr rot="0" vert="horz"/>
          <a:lstStyle/>
          <a:p>
            <a:pPr>
              <a:defRPr sz="925" b="0" i="0" u="none" strike="noStrike" baseline="0">
                <a:solidFill>
                  <a:srgbClr val="000000"/>
                </a:solidFill>
                <a:latin typeface="Times New Roman"/>
                <a:ea typeface="Times New Roman"/>
                <a:cs typeface="Times New Roman"/>
              </a:defRPr>
            </a:pPr>
            <a:endParaRPr lang="en-US"/>
          </a:p>
        </c:txPr>
        <c:crossAx val="75331840"/>
        <c:crosses val="autoZero"/>
        <c:crossBetween val="between"/>
        <c:majorUnit val="400"/>
      </c:valAx>
      <c:spPr>
        <a:solidFill>
          <a:srgbClr val="FFFFFF"/>
        </a:solidFill>
        <a:ln w="12711">
          <a:solidFill>
            <a:srgbClr val="808080"/>
          </a:solidFill>
          <a:prstDash val="solid"/>
        </a:ln>
      </c:spPr>
    </c:plotArea>
    <c:legend>
      <c:legendPos val="r"/>
      <c:layout>
        <c:manualLayout>
          <c:xMode val="edge"/>
          <c:yMode val="edge"/>
          <c:wMode val="edge"/>
          <c:hMode val="edge"/>
          <c:x val="0.30132451090672502"/>
          <c:y val="0.8778879110699398"/>
          <c:w val="0.7466887227331882"/>
          <c:h val="0.97029706926772552"/>
        </c:manualLayout>
      </c:layout>
      <c:spPr>
        <a:noFill/>
        <a:ln w="25421">
          <a:noFill/>
        </a:ln>
      </c:spPr>
      <c:txPr>
        <a:bodyPr/>
        <a:lstStyle/>
        <a:p>
          <a:pPr>
            <a:defRPr sz="921" b="0" i="0" u="none" strike="noStrike" baseline="0">
              <a:solidFill>
                <a:srgbClr val="000000"/>
              </a:solidFill>
              <a:latin typeface="Times New Roman"/>
              <a:ea typeface="Times New Roman"/>
              <a:cs typeface="Times New Roman"/>
            </a:defRPr>
          </a:pPr>
          <a:endParaRPr lang="en-US"/>
        </a:p>
      </c:txPr>
    </c:legend>
    <c:plotVisOnly val="1"/>
    <c:dispBlanksAs val="gap"/>
  </c:chart>
  <c:spPr>
    <a:solidFill>
      <a:srgbClr val="FFFFFF"/>
    </a:solidFill>
    <a:ln w="3177">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en-US"/>
              <a:t>GIÁ CÀ PHÊ NHÂN XUẤT KHẨU QUA CÁC NIÊN VỤ</a:t>
            </a:r>
          </a:p>
        </c:rich>
      </c:tx>
      <c:layout>
        <c:manualLayout>
          <c:xMode val="edge"/>
          <c:yMode val="edge"/>
          <c:x val="0.17587935287353296"/>
          <c:y val="2.1505560832133345E-2"/>
        </c:manualLayout>
      </c:layout>
      <c:spPr>
        <a:noFill/>
        <a:ln w="25403">
          <a:noFill/>
        </a:ln>
      </c:spPr>
    </c:title>
    <c:plotArea>
      <c:layout>
        <c:manualLayout>
          <c:layoutTarget val="inner"/>
          <c:xMode val="edge"/>
          <c:yMode val="edge"/>
          <c:x val="0.1155778894472362"/>
          <c:y val="0.17921146953405095"/>
          <c:w val="0.79731993299832493"/>
          <c:h val="0.66666666666666663"/>
        </c:manualLayout>
      </c:layout>
      <c:lineChart>
        <c:grouping val="standard"/>
        <c:ser>
          <c:idx val="0"/>
          <c:order val="0"/>
          <c:tx>
            <c:strRef>
              <c:f>Sheet1!$A$2</c:f>
              <c:strCache>
                <c:ptCount val="1"/>
                <c:pt idx="0">
                  <c:v>East</c:v>
                </c:pt>
              </c:strCache>
            </c:strRef>
          </c:tx>
          <c:spPr>
            <a:ln w="25397">
              <a:solidFill>
                <a:srgbClr val="000080"/>
              </a:solidFill>
              <a:prstDash val="solid"/>
            </a:ln>
          </c:spPr>
          <c:marker>
            <c:symbol val="diamond"/>
            <c:size val="5"/>
            <c:spPr>
              <a:solidFill>
                <a:srgbClr val="000080"/>
              </a:solidFill>
              <a:ln>
                <a:solidFill>
                  <a:srgbClr val="000080"/>
                </a:solidFill>
                <a:prstDash val="solid"/>
              </a:ln>
            </c:spPr>
          </c:marker>
          <c:dLbls>
            <c:dLbl>
              <c:idx val="0"/>
              <c:layout>
                <c:manualLayout>
                  <c:x val="-9.7230502557347567E-3"/>
                  <c:y val="-5.8747131912558537E-2"/>
                </c:manualLayout>
              </c:layout>
              <c:dLblPos val="r"/>
              <c:showVal val="1"/>
            </c:dLbl>
            <c:dLbl>
              <c:idx val="1"/>
              <c:layout>
                <c:manualLayout>
                  <c:x val="-1.675813265963251E-2"/>
                  <c:y val="-7.4191084309974412E-2"/>
                </c:manualLayout>
              </c:layout>
              <c:dLblPos val="r"/>
              <c:showVal val="1"/>
            </c:dLbl>
            <c:dLbl>
              <c:idx val="2"/>
              <c:layout>
                <c:manualLayout>
                  <c:x val="-3.5518680966363153E-2"/>
                  <c:y val="-5.960446795528284E-2"/>
                </c:manualLayout>
              </c:layout>
              <c:dLblPos val="r"/>
              <c:showVal val="1"/>
            </c:dLbl>
            <c:dLbl>
              <c:idx val="3"/>
              <c:layout>
                <c:manualLayout>
                  <c:x val="-2.9153601132389993E-2"/>
                  <c:y val="-6.509263321556974E-2"/>
                </c:manualLayout>
              </c:layout>
              <c:dLblPos val="r"/>
              <c:showVal val="1"/>
            </c:dLbl>
            <c:dLbl>
              <c:idx val="4"/>
              <c:layout>
                <c:manualLayout>
                  <c:x val="-7.7129716434910832E-3"/>
                  <c:y val="-3.5903296746344453E-3"/>
                </c:manualLayout>
              </c:layout>
              <c:dLblPos val="r"/>
              <c:showVal val="1"/>
            </c:dLbl>
            <c:spPr>
              <a:noFill/>
              <a:ln w="25403">
                <a:noFill/>
              </a:ln>
            </c:spPr>
            <c:txPr>
              <a:bodyPr/>
              <a:lstStyle/>
              <a:p>
                <a:pPr>
                  <a:defRPr sz="1000" b="0" i="0" u="none" strike="noStrike" baseline="0">
                    <a:solidFill>
                      <a:srgbClr val="000000"/>
                    </a:solidFill>
                    <a:latin typeface="Times New Roman"/>
                    <a:ea typeface="Times New Roman"/>
                    <a:cs typeface="Times New Roman"/>
                  </a:defRPr>
                </a:pPr>
                <a:endParaRPr lang="en-US"/>
              </a:p>
            </c:txPr>
            <c:showVal val="1"/>
          </c:dLbls>
          <c:cat>
            <c:strRef>
              <c:f>Sheet1!$B$1:$F$1</c:f>
              <c:strCache>
                <c:ptCount val="5"/>
                <c:pt idx="0">
                  <c:v>2014-2015</c:v>
                </c:pt>
                <c:pt idx="1">
                  <c:v>2015-2016</c:v>
                </c:pt>
                <c:pt idx="2">
                  <c:v>2016-2016</c:v>
                </c:pt>
                <c:pt idx="3">
                  <c:v>2017-2018</c:v>
                </c:pt>
                <c:pt idx="4">
                  <c:v>2018-2019</c:v>
                </c:pt>
              </c:strCache>
            </c:strRef>
          </c:cat>
          <c:val>
            <c:numRef>
              <c:f>Sheet1!$B$2:$F$2</c:f>
              <c:numCache>
                <c:formatCode>General</c:formatCode>
                <c:ptCount val="5"/>
                <c:pt idx="0">
                  <c:v>2056</c:v>
                </c:pt>
                <c:pt idx="1">
                  <c:v>1815</c:v>
                </c:pt>
                <c:pt idx="2">
                  <c:v>2117</c:v>
                </c:pt>
                <c:pt idx="3">
                  <c:v>1810</c:v>
                </c:pt>
                <c:pt idx="4">
                  <c:v>1550</c:v>
                </c:pt>
              </c:numCache>
            </c:numRef>
          </c:val>
        </c:ser>
        <c:dLbls>
          <c:showVal val="1"/>
        </c:dLbls>
        <c:marker val="1"/>
        <c:axId val="75272960"/>
        <c:axId val="75274880"/>
      </c:lineChart>
      <c:catAx>
        <c:axId val="75272960"/>
        <c:scaling>
          <c:orientation val="minMax"/>
        </c:scaling>
        <c:axPos val="b"/>
        <c:title>
          <c:tx>
            <c:rich>
              <a:bodyPr/>
              <a:lstStyle/>
              <a:p>
                <a:pPr>
                  <a:defRPr sz="975" b="1" i="0" u="none" strike="noStrike" baseline="0">
                    <a:solidFill>
                      <a:srgbClr val="000000"/>
                    </a:solidFill>
                    <a:latin typeface="Times New Roman"/>
                    <a:ea typeface="Times New Roman"/>
                    <a:cs typeface="Times New Roman"/>
                  </a:defRPr>
                </a:pPr>
                <a:r>
                  <a:t>Niên vụ</a:t>
                </a:r>
              </a:p>
            </c:rich>
          </c:tx>
          <c:layout>
            <c:manualLayout>
              <c:xMode val="edge"/>
              <c:yMode val="edge"/>
              <c:x val="0.91122271087351558"/>
              <c:y val="0.87813638081232037"/>
            </c:manualLayout>
          </c:layout>
          <c:spPr>
            <a:noFill/>
            <a:ln w="25403">
              <a:noFill/>
            </a:ln>
          </c:spPr>
        </c:title>
        <c:numFmt formatCode="General" sourceLinked="1"/>
        <c:tickLblPos val="nextTo"/>
        <c:spPr>
          <a:ln w="3174">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en-US"/>
          </a:p>
        </c:txPr>
        <c:crossAx val="75274880"/>
        <c:crosses val="autoZero"/>
        <c:auto val="1"/>
        <c:lblAlgn val="ctr"/>
        <c:lblOffset val="100"/>
        <c:tickLblSkip val="1"/>
        <c:tickMarkSkip val="1"/>
      </c:catAx>
      <c:valAx>
        <c:axId val="75274880"/>
        <c:scaling>
          <c:orientation val="minMax"/>
        </c:scaling>
        <c:axPos val="l"/>
        <c:majorGridlines>
          <c:spPr>
            <a:ln w="12698">
              <a:solidFill>
                <a:srgbClr val="000000"/>
              </a:solidFill>
              <a:prstDash val="lgDash"/>
            </a:ln>
          </c:spPr>
        </c:majorGridlines>
        <c:title>
          <c:tx>
            <c:rich>
              <a:bodyPr rot="0" vert="horz"/>
              <a:lstStyle/>
              <a:p>
                <a:pPr algn="ctr">
                  <a:defRPr sz="1000" b="1" i="0" u="none" strike="noStrike" baseline="0">
                    <a:solidFill>
                      <a:srgbClr val="000000"/>
                    </a:solidFill>
                    <a:latin typeface="Times New Roman"/>
                    <a:ea typeface="Times New Roman"/>
                    <a:cs typeface="Times New Roman"/>
                  </a:defRPr>
                </a:pPr>
                <a:r>
                  <a:t>USD/tấn</a:t>
                </a:r>
              </a:p>
            </c:rich>
          </c:tx>
          <c:layout>
            <c:manualLayout>
              <c:xMode val="edge"/>
              <c:yMode val="edge"/>
              <c:x val="5.6951342620633949E-2"/>
              <c:y val="5.7347753709774602E-2"/>
            </c:manualLayout>
          </c:layout>
          <c:spPr>
            <a:noFill/>
            <a:ln w="25403">
              <a:noFill/>
            </a:ln>
          </c:spPr>
        </c:title>
        <c:numFmt formatCode="General" sourceLinked="1"/>
        <c:tickLblPos val="nextTo"/>
        <c:spPr>
          <a:ln w="3174">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en-US"/>
          </a:p>
        </c:txPr>
        <c:crossAx val="75272960"/>
        <c:crosses val="autoZero"/>
        <c:crossBetween val="between"/>
      </c:valAx>
      <c:spPr>
        <a:solidFill>
          <a:srgbClr val="FFFFFF"/>
        </a:solidFill>
        <a:ln w="12698">
          <a:solidFill>
            <a:srgbClr val="808080"/>
          </a:solidFill>
          <a:prstDash val="solid"/>
        </a:ln>
      </c:spPr>
    </c:plotArea>
    <c:plotVisOnly val="1"/>
    <c:dispBlanksAs val="gap"/>
  </c:chart>
  <c:spPr>
    <a:solidFill>
      <a:srgbClr val="FFFFFF"/>
    </a:solidFill>
    <a:ln w="6351" cap="rnd">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1635220125786165"/>
          <c:y val="0.24087591240875855"/>
          <c:w val="0.79088050314465408"/>
          <c:h val="0.6034063260340633"/>
        </c:manualLayout>
      </c:layout>
      <c:barChart>
        <c:barDir val="col"/>
        <c:grouping val="clustered"/>
        <c:ser>
          <c:idx val="0"/>
          <c:order val="0"/>
          <c:tx>
            <c:strRef>
              <c:f>Sheet1!$B$1</c:f>
              <c:strCache>
                <c:ptCount val="1"/>
                <c:pt idx="0">
                  <c:v>Lượng (Tấn)</c:v>
                </c:pt>
              </c:strCache>
            </c:strRef>
          </c:tx>
          <c:spPr>
            <a:solidFill>
              <a:sysClr val="windowText" lastClr="000000"/>
            </a:solidFill>
          </c:spPr>
          <c:dLbls>
            <c:dLbl>
              <c:idx val="0"/>
              <c:layout>
                <c:manualLayout>
                  <c:x val="-1.6364553784573476E-2"/>
                  <c:y val="3.9682539682538952E-3"/>
                </c:manualLayout>
              </c:layout>
              <c:dLblPos val="outEnd"/>
              <c:showVal val="1"/>
            </c:dLbl>
            <c:dLbl>
              <c:idx val="1"/>
              <c:layout>
                <c:manualLayout>
                  <c:x val="-1.6203703703703783E-2"/>
                  <c:y val="0"/>
                </c:manualLayout>
              </c:layout>
              <c:dLblPos val="outEnd"/>
              <c:showVal val="1"/>
            </c:dLbl>
            <c:dLbl>
              <c:idx val="2"/>
              <c:layout>
                <c:manualLayout>
                  <c:x val="-7.7485063963127748E-3"/>
                  <c:y val="0"/>
                </c:manualLayout>
              </c:layout>
              <c:dLblPos val="outEnd"/>
              <c:showVal val="1"/>
            </c:dLbl>
            <c:dLbl>
              <c:idx val="3"/>
              <c:layout>
                <c:manualLayout>
                  <c:x val="-1.6203703703703783E-2"/>
                  <c:y val="3.9682539682538952E-3"/>
                </c:manualLayout>
              </c:layout>
              <c:dLblPos val="outEnd"/>
              <c:showVal val="1"/>
            </c:dLbl>
            <c:dLbl>
              <c:idx val="4"/>
              <c:layout>
                <c:manualLayout>
                  <c:x val="-1.6525341440559102E-2"/>
                  <c:y val="-3.9682539682539915E-3"/>
                </c:manualLayout>
              </c:layout>
              <c:dLblPos val="outEnd"/>
              <c:showVal val="1"/>
            </c:dLbl>
            <c:spPr>
              <a:noFill/>
              <a:ln w="21546">
                <a:noFill/>
              </a:ln>
            </c:spPr>
            <c:txPr>
              <a:bodyPr rot="0" spcFirstLastPara="1" vertOverflow="ellipsis" vert="horz" wrap="square" lIns="38100" tIns="19050" rIns="38100" bIns="19050" anchor="ctr" anchorCtr="1">
                <a:spAutoFit/>
              </a:bodyPr>
              <a:lstStyle/>
              <a:p>
                <a:pPr>
                  <a:defRPr sz="764" b="1" i="0" u="none" strike="noStrike" kern="1200" baseline="0">
                    <a:solidFill>
                      <a:schemeClr val="tx1">
                        <a:lumMod val="50000"/>
                      </a:schemeClr>
                    </a:solidFill>
                    <a:latin typeface="Times New Roman" panose="02020603050405020304" pitchFamily="18" charset="0"/>
                    <a:ea typeface="+mn-ea"/>
                    <a:cs typeface="+mn-cs"/>
                  </a:defRPr>
                </a:pPr>
                <a:endParaRPr lang="en-US"/>
              </a:p>
            </c:txPr>
            <c:dLblPos val="outEnd"/>
            <c:showVal val="1"/>
          </c:dLbls>
          <c:cat>
            <c:strRef>
              <c:f>Sheet1!$A$2:$A$6</c:f>
              <c:strCache>
                <c:ptCount val="5"/>
                <c:pt idx="0">
                  <c:v>2014-2015</c:v>
                </c:pt>
                <c:pt idx="1">
                  <c:v>2015-2016</c:v>
                </c:pt>
                <c:pt idx="2">
                  <c:v>2016-2017</c:v>
                </c:pt>
                <c:pt idx="3">
                  <c:v>2017-2018</c:v>
                </c:pt>
                <c:pt idx="4">
                  <c:v>2018-2019</c:v>
                </c:pt>
              </c:strCache>
            </c:strRef>
          </c:cat>
          <c:val>
            <c:numRef>
              <c:f>Sheet1!$B$2:$B$6</c:f>
              <c:numCache>
                <c:formatCode>General</c:formatCode>
                <c:ptCount val="5"/>
                <c:pt idx="0">
                  <c:v>177097</c:v>
                </c:pt>
                <c:pt idx="1">
                  <c:v>196391</c:v>
                </c:pt>
                <c:pt idx="2">
                  <c:v>201126</c:v>
                </c:pt>
                <c:pt idx="3">
                  <c:v>191169</c:v>
                </c:pt>
                <c:pt idx="4">
                  <c:v>189252</c:v>
                </c:pt>
              </c:numCache>
            </c:numRef>
          </c:val>
        </c:ser>
        <c:ser>
          <c:idx val="1"/>
          <c:order val="1"/>
          <c:tx>
            <c:strRef>
              <c:f>Sheet1!$C$1</c:f>
              <c:strCache>
                <c:ptCount val="1"/>
                <c:pt idx="0">
                  <c:v>Kim ngạch (1000USD)</c:v>
                </c:pt>
              </c:strCache>
            </c:strRef>
          </c:tx>
          <c:spPr>
            <a:solidFill>
              <a:srgbClr val="F47914"/>
            </a:solidFill>
            <a:ln w="8091">
              <a:solidFill>
                <a:schemeClr val="tx1">
                  <a:lumMod val="50000"/>
                </a:schemeClr>
              </a:solidFill>
            </a:ln>
            <a:effectLst/>
          </c:spPr>
          <c:invertIfNegative val="1"/>
          <c:dPt>
            <c:idx val="0"/>
            <c:invertIfNegative val="1"/>
          </c:dPt>
          <c:dPt>
            <c:idx val="1"/>
            <c:invertIfNegative val="1"/>
          </c:dPt>
          <c:dPt>
            <c:idx val="2"/>
            <c:invertIfNegative val="1"/>
          </c:dPt>
          <c:dPt>
            <c:idx val="3"/>
            <c:invertIfNegative val="1"/>
          </c:dPt>
          <c:dPt>
            <c:idx val="4"/>
            <c:invertIfNegative val="1"/>
          </c:dPt>
          <c:dLbls>
            <c:dLbl>
              <c:idx val="0"/>
              <c:layout>
                <c:manualLayout>
                  <c:x val="2.1540118470651424E-3"/>
                  <c:y val="1.5873015873015883E-2"/>
                </c:manualLayout>
              </c:layout>
              <c:dLblPos val="outEnd"/>
              <c:showVal val="1"/>
            </c:dLbl>
            <c:dLbl>
              <c:idx val="1"/>
              <c:layout>
                <c:manualLayout>
                  <c:x val="0"/>
                  <c:y val="1.1904761904761921E-2"/>
                </c:manualLayout>
              </c:layout>
              <c:dLblPos val="outEnd"/>
              <c:showVal val="1"/>
            </c:dLbl>
            <c:spPr>
              <a:noFill/>
              <a:ln w="21546">
                <a:noFill/>
              </a:ln>
            </c:spPr>
            <c:txPr>
              <a:bodyPr rot="0" spcFirstLastPara="1" vertOverflow="ellipsis" vert="horz" wrap="square" lIns="38100" tIns="19050" rIns="38100" bIns="19050" anchor="ctr" anchorCtr="1">
                <a:spAutoFit/>
              </a:bodyPr>
              <a:lstStyle/>
              <a:p>
                <a:pPr>
                  <a:defRPr sz="764" b="1" i="0" u="none" strike="noStrike" kern="1200" baseline="0">
                    <a:solidFill>
                      <a:schemeClr val="tx1">
                        <a:lumMod val="50000"/>
                      </a:schemeClr>
                    </a:solidFill>
                    <a:latin typeface="Times New Roman" panose="02020603050405020304" pitchFamily="18" charset="0"/>
                    <a:ea typeface="+mn-ea"/>
                    <a:cs typeface="+mn-cs"/>
                  </a:defRPr>
                </a:pPr>
                <a:endParaRPr lang="en-US"/>
              </a:p>
            </c:txPr>
            <c:showVal val="1"/>
          </c:dLbls>
          <c:cat>
            <c:strRef>
              <c:f>Sheet1!$A$2:$A$6</c:f>
              <c:strCache>
                <c:ptCount val="5"/>
                <c:pt idx="0">
                  <c:v>2014-2015</c:v>
                </c:pt>
                <c:pt idx="1">
                  <c:v>2015-2016</c:v>
                </c:pt>
                <c:pt idx="2">
                  <c:v>2016-2017</c:v>
                </c:pt>
                <c:pt idx="3">
                  <c:v>2017-2018</c:v>
                </c:pt>
                <c:pt idx="4">
                  <c:v>2018-2019</c:v>
                </c:pt>
              </c:strCache>
            </c:strRef>
          </c:cat>
          <c:val>
            <c:numRef>
              <c:f>Sheet1!$C$2:$C$6</c:f>
              <c:numCache>
                <c:formatCode>General</c:formatCode>
                <c:ptCount val="5"/>
                <c:pt idx="0">
                  <c:v>364139</c:v>
                </c:pt>
                <c:pt idx="1">
                  <c:v>356479</c:v>
                </c:pt>
                <c:pt idx="2">
                  <c:v>445258</c:v>
                </c:pt>
                <c:pt idx="3">
                  <c:v>365020</c:v>
                </c:pt>
                <c:pt idx="4">
                  <c:v>314512</c:v>
                </c:pt>
              </c:numCache>
            </c:numRef>
          </c:val>
        </c:ser>
        <c:axId val="78231424"/>
        <c:axId val="78232960"/>
      </c:barChart>
      <c:lineChart>
        <c:grouping val="standard"/>
        <c:ser>
          <c:idx val="2"/>
          <c:order val="2"/>
          <c:tx>
            <c:strRef>
              <c:f>Sheet1!$D$1</c:f>
              <c:strCache>
                <c:ptCount val="1"/>
                <c:pt idx="0">
                  <c:v>Lượng (Tấn)2</c:v>
                </c:pt>
              </c:strCache>
            </c:strRef>
          </c:tx>
          <c:spPr>
            <a:ln w="16182" cap="rnd">
              <a:solidFill>
                <a:schemeClr val="tx1">
                  <a:lumMod val="50000"/>
                </a:schemeClr>
              </a:solidFill>
              <a:round/>
            </a:ln>
            <a:effectLst/>
          </c:spPr>
          <c:marker>
            <c:symbol val="none"/>
          </c:marker>
          <c:cat>
            <c:strRef>
              <c:f>Sheet1!$A$2:$A$6</c:f>
              <c:strCache>
                <c:ptCount val="5"/>
                <c:pt idx="0">
                  <c:v>2014-2015</c:v>
                </c:pt>
                <c:pt idx="1">
                  <c:v>2015-2016</c:v>
                </c:pt>
                <c:pt idx="2">
                  <c:v>2016-2017</c:v>
                </c:pt>
                <c:pt idx="3">
                  <c:v>2017-2018</c:v>
                </c:pt>
                <c:pt idx="4">
                  <c:v>2018-2019</c:v>
                </c:pt>
              </c:strCache>
            </c:strRef>
          </c:cat>
          <c:val>
            <c:numRef>
              <c:f>Sheet1!$D$2:$D$6</c:f>
              <c:numCache>
                <c:formatCode>General</c:formatCode>
                <c:ptCount val="5"/>
                <c:pt idx="0">
                  <c:v>177097</c:v>
                </c:pt>
                <c:pt idx="1">
                  <c:v>196391</c:v>
                </c:pt>
                <c:pt idx="2">
                  <c:v>201126</c:v>
                </c:pt>
                <c:pt idx="3">
                  <c:v>191169</c:v>
                </c:pt>
                <c:pt idx="4">
                  <c:v>189252</c:v>
                </c:pt>
              </c:numCache>
            </c:numRef>
          </c:val>
        </c:ser>
        <c:ser>
          <c:idx val="3"/>
          <c:order val="3"/>
          <c:tx>
            <c:strRef>
              <c:f>Sheet1!$E$1</c:f>
              <c:strCache>
                <c:ptCount val="1"/>
                <c:pt idx="0">
                  <c:v>Kim ngạch (1000 USD)2</c:v>
                </c:pt>
              </c:strCache>
            </c:strRef>
          </c:tx>
          <c:spPr>
            <a:ln w="16182" cap="rnd">
              <a:solidFill>
                <a:schemeClr val="tx1">
                  <a:lumMod val="50000"/>
                </a:schemeClr>
              </a:solidFill>
              <a:round/>
            </a:ln>
            <a:effectLst/>
          </c:spPr>
          <c:marker>
            <c:symbol val="none"/>
          </c:marker>
          <c:cat>
            <c:strRef>
              <c:f>Sheet1!$A$2:$A$6</c:f>
              <c:strCache>
                <c:ptCount val="5"/>
                <c:pt idx="0">
                  <c:v>2014-2015</c:v>
                </c:pt>
                <c:pt idx="1">
                  <c:v>2015-2016</c:v>
                </c:pt>
                <c:pt idx="2">
                  <c:v>2016-2017</c:v>
                </c:pt>
                <c:pt idx="3">
                  <c:v>2017-2018</c:v>
                </c:pt>
                <c:pt idx="4">
                  <c:v>2018-2019</c:v>
                </c:pt>
              </c:strCache>
            </c:strRef>
          </c:cat>
          <c:val>
            <c:numRef>
              <c:f>Sheet1!$E$2:$E$6</c:f>
              <c:numCache>
                <c:formatCode>General</c:formatCode>
                <c:ptCount val="5"/>
                <c:pt idx="0">
                  <c:v>364139</c:v>
                </c:pt>
                <c:pt idx="1">
                  <c:v>356479</c:v>
                </c:pt>
                <c:pt idx="2">
                  <c:v>445258</c:v>
                </c:pt>
                <c:pt idx="3">
                  <c:v>365020</c:v>
                </c:pt>
                <c:pt idx="4">
                  <c:v>314512</c:v>
                </c:pt>
              </c:numCache>
            </c:numRef>
          </c:val>
        </c:ser>
        <c:marker val="1"/>
        <c:axId val="78231424"/>
        <c:axId val="78232960"/>
      </c:lineChart>
      <c:catAx>
        <c:axId val="78231424"/>
        <c:scaling>
          <c:orientation val="minMax"/>
        </c:scaling>
        <c:axPos val="b"/>
        <c:numFmt formatCode="General" sourceLinked="1"/>
        <c:majorTickMark val="none"/>
        <c:tickLblPos val="nextTo"/>
        <c:spPr>
          <a:noFill/>
          <a:ln w="10788"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rot="-60000000" spcFirstLastPara="1" vertOverflow="ellipsis" vert="horz" wrap="square" anchor="ctr" anchorCtr="1"/>
          <a:lstStyle/>
          <a:p>
            <a:pPr>
              <a:defRPr sz="764" b="1" i="0" u="none" strike="noStrike" kern="1200" baseline="0">
                <a:solidFill>
                  <a:schemeClr val="tx1">
                    <a:lumMod val="50000"/>
                  </a:schemeClr>
                </a:solidFill>
                <a:latin typeface="Times New Roman" panose="02020603050405020304" pitchFamily="18" charset="0"/>
                <a:ea typeface="+mn-ea"/>
                <a:cs typeface="+mn-cs"/>
              </a:defRPr>
            </a:pPr>
            <a:endParaRPr lang="en-US"/>
          </a:p>
        </c:txPr>
        <c:crossAx val="78232960"/>
        <c:crosses val="autoZero"/>
        <c:auto val="1"/>
        <c:lblAlgn val="ctr"/>
        <c:lblOffset val="100"/>
      </c:catAx>
      <c:valAx>
        <c:axId val="78232960"/>
        <c:scaling>
          <c:orientation val="minMax"/>
        </c:scaling>
        <c:axPos val="l"/>
        <c:majorGridlines>
          <c:spPr>
            <a:ln w="8091" cap="flat" cmpd="sng" algn="ctr">
              <a:solidFill>
                <a:schemeClr val="tx1">
                  <a:lumMod val="15000"/>
                  <a:lumOff val="85000"/>
                </a:schemeClr>
              </a:solidFill>
              <a:round/>
            </a:ln>
            <a:effectLst/>
          </c:spPr>
        </c:majorGridlines>
        <c:numFmt formatCode="General" sourceLinked="1"/>
        <c:majorTickMark val="none"/>
        <c:tickLblPos val="nextTo"/>
        <c:spPr>
          <a:ln w="8091">
            <a:noFill/>
          </a:ln>
        </c:spPr>
        <c:txPr>
          <a:bodyPr rot="-60000000" spcFirstLastPara="1" vertOverflow="ellipsis" vert="horz" wrap="square" anchor="ctr" anchorCtr="1"/>
          <a:lstStyle/>
          <a:p>
            <a:pPr>
              <a:defRPr sz="764" b="1" i="0" u="none" strike="noStrike" kern="1200" baseline="0">
                <a:solidFill>
                  <a:schemeClr val="tx1">
                    <a:lumMod val="50000"/>
                  </a:schemeClr>
                </a:solidFill>
                <a:latin typeface="Times New Roman" panose="02020603050405020304" pitchFamily="18" charset="0"/>
                <a:ea typeface="+mn-ea"/>
                <a:cs typeface="+mn-cs"/>
              </a:defRPr>
            </a:pPr>
            <a:endParaRPr lang="en-US"/>
          </a:p>
        </c:txPr>
        <c:crossAx val="78231424"/>
        <c:crosses val="autoZero"/>
        <c:crossBetween val="between"/>
      </c:valAx>
      <c:spPr>
        <a:noFill/>
        <a:ln w="10788">
          <a:gradFill>
            <a:gsLst>
              <a:gs pos="0">
                <a:schemeClr val="bg1">
                  <a:lumMod val="65000"/>
                </a:schemeClr>
              </a:gs>
              <a:gs pos="0">
                <a:schemeClr val="accent1">
                  <a:lumMod val="45000"/>
                  <a:lumOff val="55000"/>
                </a:schemeClr>
              </a:gs>
              <a:gs pos="0">
                <a:schemeClr val="accent1">
                  <a:lumMod val="45000"/>
                  <a:lumOff val="55000"/>
                </a:schemeClr>
              </a:gs>
              <a:gs pos="0">
                <a:schemeClr val="accent1">
                  <a:lumMod val="30000"/>
                  <a:lumOff val="70000"/>
                </a:schemeClr>
              </a:gs>
            </a:gsLst>
            <a:lin ang="5400000" scaled="1"/>
          </a:gradFill>
        </a:ln>
        <a:effectLst/>
      </c:spPr>
    </c:plotArea>
    <c:plotVisOnly val="1"/>
    <c:dispBlanksAs val="gap"/>
  </c:chart>
  <c:spPr>
    <a:solidFill>
      <a:schemeClr val="bg1"/>
    </a:solidFill>
    <a:ln w="10788" cap="flat" cmpd="sng" algn="ctr">
      <a:solidFill>
        <a:schemeClr val="accent3"/>
      </a:solidFill>
      <a:round/>
    </a:ln>
    <a:effectLst/>
  </c:spPr>
  <c:txPr>
    <a:bodyPr/>
    <a:lstStyle/>
    <a:p>
      <a:pPr>
        <a:defRPr/>
      </a:pPr>
      <a:endParaRPr lang="en-US"/>
    </a:p>
  </c:txPr>
  <c:externalData r:id="rId2"/>
  <c:userShapes r:id="rId3"/>
</c:chartSpace>
</file>

<file path=word/drawing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0.25755</cdr:x>
      <cdr:y>0.01909</cdr:y>
    </cdr:from>
    <cdr:to>
      <cdr:x>0.80222</cdr:x>
      <cdr:y>0.10261</cdr:y>
    </cdr:to>
    <cdr:pic>
      <cdr:nvPicPr>
        <cdr:cNvPr id="2" name="Picture 1" descr="Untitled 1.png"/>
        <cdr:cNvPicPr>
          <a:picLocks xmlns:a="http://schemas.openxmlformats.org/drawingml/2006/main" noChangeAspect="1"/>
        </cdr:cNvPicPr>
      </cdr:nvPicPr>
      <cdr:blipFill>
        <a:blip xmlns:a="http://schemas.openxmlformats.org/drawingml/2006/main" xmlns:r="http://schemas.openxmlformats.org/officeDocument/2006/relationships" r:embed="rId1">
          <a:lum contrast="60000"/>
        </a:blip>
        <a:stretch xmlns:a="http://schemas.openxmlformats.org/drawingml/2006/main">
          <a:fillRect/>
        </a:stretch>
      </cdr:blipFill>
      <cdr:spPr>
        <a:xfrm xmlns:a="http://schemas.openxmlformats.org/drawingml/2006/main">
          <a:off x="1431984" y="69012"/>
          <a:ext cx="3028391" cy="301924"/>
        </a:xfrm>
        <a:prstGeom xmlns:a="http://schemas.openxmlformats.org/drawingml/2006/main" prst="rect">
          <a:avLst/>
        </a:prstGeom>
      </cdr:spPr>
    </cdr:pic>
  </cdr:relSizeAnchor>
  <cdr:relSizeAnchor xmlns:cdr="http://schemas.openxmlformats.org/drawingml/2006/chartDrawing">
    <cdr:from>
      <cdr:x>0.28082</cdr:x>
      <cdr:y>0.91403</cdr:y>
    </cdr:from>
    <cdr:to>
      <cdr:x>0.70716</cdr:x>
      <cdr:y>0.97836</cdr:y>
    </cdr:to>
    <cdr:pic>
      <cdr:nvPicPr>
        <cdr:cNvPr id="3" name="Picture 2" descr="Untitled 2.png"/>
        <cdr:cNvPicPr>
          <a:picLocks xmlns:a="http://schemas.openxmlformats.org/drawingml/2006/main" noChangeAspect="1"/>
        </cdr:cNvPicPr>
      </cdr:nvPicPr>
      <cdr:blipFill>
        <a:blip xmlns:a="http://schemas.openxmlformats.org/drawingml/2006/main" xmlns:r="http://schemas.openxmlformats.org/officeDocument/2006/relationships" r:embed="rId2">
          <a:lum contrast="80000"/>
        </a:blip>
        <a:stretch xmlns:a="http://schemas.openxmlformats.org/drawingml/2006/main">
          <a:fillRect/>
        </a:stretch>
      </cdr:blipFill>
      <cdr:spPr>
        <a:xfrm xmlns:a="http://schemas.openxmlformats.org/drawingml/2006/main">
          <a:off x="1561380" y="3304285"/>
          <a:ext cx="2370467" cy="232546"/>
        </a:xfrm>
        <a:prstGeom xmlns:a="http://schemas.openxmlformats.org/drawingml/2006/main" prst="rect">
          <a:avLst/>
        </a:prstGeom>
      </cdr:spPr>
    </cdr:pic>
  </cdr:relSizeAnchor>
  <cdr:relSizeAnchor xmlns:cdr="http://schemas.openxmlformats.org/drawingml/2006/chartDrawing">
    <cdr:from>
      <cdr:x>0.91196</cdr:x>
      <cdr:y>0.80823</cdr:y>
    </cdr:from>
    <cdr:to>
      <cdr:x>0.99956</cdr:x>
      <cdr:y>0.86617</cdr:y>
    </cdr:to>
    <cdr:pic>
      <cdr:nvPicPr>
        <cdr:cNvPr id="5" name="Picture 4" descr="Untitled 3.png"/>
        <cdr:cNvPicPr>
          <a:picLocks xmlns:a="http://schemas.openxmlformats.org/drawingml/2006/main" noChangeAspect="1"/>
        </cdr:cNvPicPr>
      </cdr:nvPicPr>
      <cdr:blipFill>
        <a:blip xmlns:a="http://schemas.openxmlformats.org/drawingml/2006/main" xmlns:r="http://schemas.openxmlformats.org/officeDocument/2006/relationships" r:embed="rId3">
          <a:lum contrast="40000"/>
        </a:blip>
        <a:stretch xmlns:a="http://schemas.openxmlformats.org/drawingml/2006/main">
          <a:fillRect/>
        </a:stretch>
      </cdr:blipFill>
      <cdr:spPr>
        <a:xfrm xmlns:a="http://schemas.openxmlformats.org/drawingml/2006/main">
          <a:off x="5158564" y="2924355"/>
          <a:ext cx="495500" cy="209635"/>
        </a:xfrm>
        <a:prstGeom xmlns:a="http://schemas.openxmlformats.org/drawingml/2006/main" prst="rect">
          <a:avLst/>
        </a:prstGeom>
      </cdr:spPr>
    </cdr:pic>
  </cdr:relSizeAnchor>
  <cdr:relSizeAnchor xmlns:cdr="http://schemas.openxmlformats.org/drawingml/2006/chartDrawing">
    <cdr:from>
      <cdr:x>0.04423</cdr:x>
      <cdr:y>0.1049</cdr:y>
    </cdr:from>
    <cdr:to>
      <cdr:x>0.17874</cdr:x>
      <cdr:y>0.20027</cdr:y>
    </cdr:to>
    <cdr:pic>
      <cdr:nvPicPr>
        <cdr:cNvPr id="6" name="Picture 5" descr="Untitled 4.png"/>
        <cdr:cNvPicPr>
          <a:picLocks xmlns:a="http://schemas.openxmlformats.org/drawingml/2006/main" noChangeAspect="1"/>
        </cdr:cNvPicPr>
      </cdr:nvPicPr>
      <cdr:blipFill>
        <a:blip xmlns:a="http://schemas.openxmlformats.org/drawingml/2006/main" xmlns:r="http://schemas.openxmlformats.org/officeDocument/2006/relationships" r:embed="rId4">
          <a:lum contrast="50000"/>
        </a:blip>
        <a:stretch xmlns:a="http://schemas.openxmlformats.org/drawingml/2006/main">
          <a:fillRect/>
        </a:stretch>
      </cdr:blipFill>
      <cdr:spPr>
        <a:xfrm xmlns:a="http://schemas.openxmlformats.org/drawingml/2006/main">
          <a:off x="250166" y="379562"/>
          <a:ext cx="760894" cy="345057"/>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18</Pages>
  <Words>6214</Words>
  <Characters>35423</Characters>
  <Application>Microsoft Office Word</Application>
  <DocSecurity>0</DocSecurity>
  <Lines>295</Lines>
  <Paragraphs>83</Paragraphs>
  <ScaleCrop>false</ScaleCrop>
  <Company>Pro Corp</Company>
  <LinksUpToDate>false</LinksUpToDate>
  <CharactersWithSpaces>41554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 TỈNH ĐẮK LẮK</dc:title>
  <dc:creator>User</dc:creator>
  <cp:lastModifiedBy>ONE</cp:lastModifiedBy>
  <cp:revision>2</cp:revision>
  <cp:lastPrinted>2019-11-14T02:26:00Z</cp:lastPrinted>
  <dcterms:created xsi:type="dcterms:W3CDTF">2020-10-05T03:14:00Z</dcterms:created>
  <dcterms:modified xsi:type="dcterms:W3CDTF">2020-10-05T03:14:00Z</dcterms:modified>
</cp:coreProperties>
</file>